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E76" w:rsidRDefault="00C6647D">
      <w:pPr>
        <w:spacing w:line="540" w:lineRule="exact"/>
        <w:rPr>
          <w:rFonts w:ascii="黑体" w:eastAsia="黑体" w:hAnsi="黑体"/>
          <w:sz w:val="32"/>
          <w:szCs w:val="32"/>
        </w:rPr>
      </w:pPr>
      <w:r>
        <w:rPr>
          <w:rFonts w:ascii="黑体" w:eastAsia="黑体" w:hAnsi="黑体" w:hint="eastAsia"/>
          <w:sz w:val="32"/>
          <w:szCs w:val="32"/>
        </w:rPr>
        <w:t xml:space="preserve">附件1： </w:t>
      </w:r>
    </w:p>
    <w:p w:rsidR="00881E76" w:rsidRDefault="00881E76">
      <w:pPr>
        <w:spacing w:line="540" w:lineRule="exact"/>
        <w:rPr>
          <w:rFonts w:ascii="方正小标宋_GBK" w:eastAsia="方正小标宋_GBK" w:hAnsi="宋体"/>
          <w:sz w:val="44"/>
          <w:szCs w:val="44"/>
        </w:rPr>
      </w:pPr>
    </w:p>
    <w:p w:rsidR="00881E76" w:rsidRDefault="00C6647D">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2018年度新疆喀什地区英吉沙县托普鲁克乡人民政府（本级）部门决算</w:t>
      </w:r>
    </w:p>
    <w:p w:rsidR="00881E76" w:rsidRDefault="00C6647D">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881E76" w:rsidRDefault="00881E76">
      <w:pPr>
        <w:spacing w:line="540" w:lineRule="exact"/>
        <w:rPr>
          <w:rFonts w:ascii="仿宋_GB2312" w:eastAsia="仿宋_GB2312" w:hAnsi="宋体"/>
          <w:sz w:val="32"/>
          <w:szCs w:val="32"/>
        </w:rPr>
      </w:pPr>
    </w:p>
    <w:p w:rsidR="00881E76" w:rsidRDefault="00C6647D">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881E76" w:rsidRDefault="00881E76">
      <w:pPr>
        <w:spacing w:line="540" w:lineRule="exact"/>
        <w:rPr>
          <w:rFonts w:ascii="仿宋_GB2312" w:eastAsia="仿宋_GB2312" w:hAnsi="宋体"/>
          <w:b/>
          <w:kern w:val="0"/>
          <w:sz w:val="32"/>
          <w:szCs w:val="32"/>
        </w:rPr>
      </w:pPr>
    </w:p>
    <w:p w:rsidR="00881E76" w:rsidRDefault="00C6647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881E76" w:rsidRDefault="00C6647D">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881E76" w:rsidRDefault="00C6647D">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881E76" w:rsidRDefault="00C6647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881E76" w:rsidRDefault="00C6647D">
      <w:pPr>
        <w:spacing w:line="540" w:lineRule="exact"/>
        <w:ind w:firstLineChars="200" w:firstLine="640"/>
        <w:rPr>
          <w:rFonts w:ascii="仿宋_GB2312" w:eastAsia="仿宋_GB2312"/>
          <w:sz w:val="32"/>
          <w:szCs w:val="32"/>
        </w:rPr>
      </w:pPr>
      <w:bookmarkStart w:id="0" w:name="OLE_LINK94"/>
      <w:bookmarkStart w:id="1" w:name="OLE_LINK95"/>
      <w:r>
        <w:rPr>
          <w:rFonts w:ascii="仿宋_GB2312" w:eastAsia="仿宋_GB2312" w:hint="eastAsia"/>
          <w:sz w:val="32"/>
          <w:szCs w:val="32"/>
        </w:rPr>
        <w:t>（一）国有资产占用情况说明</w:t>
      </w:r>
      <w:bookmarkEnd w:id="0"/>
      <w:bookmarkEnd w:id="1"/>
    </w:p>
    <w:p w:rsidR="00881E76" w:rsidRDefault="00C6647D">
      <w:pPr>
        <w:spacing w:line="540" w:lineRule="exact"/>
        <w:ind w:firstLineChars="200" w:firstLine="640"/>
        <w:rPr>
          <w:rFonts w:ascii="仿宋_GB2312" w:eastAsia="仿宋_GB2312"/>
          <w:sz w:val="32"/>
          <w:szCs w:val="32"/>
        </w:rPr>
      </w:pPr>
      <w:bookmarkStart w:id="2" w:name="OLE_LINK96"/>
      <w:r>
        <w:rPr>
          <w:rFonts w:ascii="仿宋_GB2312" w:eastAsia="仿宋_GB2312" w:hint="eastAsia"/>
          <w:sz w:val="32"/>
          <w:szCs w:val="32"/>
        </w:rPr>
        <w:t>（二）预算绩效情况的说明</w:t>
      </w:r>
      <w:bookmarkEnd w:id="2"/>
    </w:p>
    <w:p w:rsidR="00881E76" w:rsidRDefault="00C6647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881E76" w:rsidRDefault="00C6647D">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881E76" w:rsidRDefault="00C6647D">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881E76" w:rsidRDefault="00881E76">
      <w:pPr>
        <w:spacing w:line="540" w:lineRule="exact"/>
        <w:ind w:firstLineChars="200" w:firstLine="640"/>
        <w:rPr>
          <w:rFonts w:ascii="黑体" w:eastAsia="黑体" w:hAnsi="黑体"/>
          <w:sz w:val="32"/>
          <w:szCs w:val="32"/>
        </w:rPr>
      </w:pPr>
    </w:p>
    <w:p w:rsidR="00881E76" w:rsidRDefault="00C6647D">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881E76" w:rsidRDefault="00C6647D">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881E76" w:rsidRDefault="00C6647D">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1、贯彻落实党和国家在农村的各项方针政策和法律法规，做好农业、农村、农民工作。</w:t>
      </w:r>
      <w:r>
        <w:rPr>
          <w:rFonts w:ascii="仿宋_GB2312" w:eastAsia="仿宋_GB2312" w:hint="eastAsia"/>
          <w:sz w:val="32"/>
          <w:szCs w:val="32"/>
        </w:rPr>
        <w:br/>
        <w:t xml:space="preserve">    2、围绕促进经济发展、增加农民收入，强化公共服务、着力改善民生，加强社会管理、维护农村和谐，推进基层民主、促进农村和谐四个方面全面履行职能。</w:t>
      </w:r>
      <w:r>
        <w:rPr>
          <w:rFonts w:ascii="仿宋_GB2312" w:eastAsia="仿宋_GB2312" w:hint="eastAsia"/>
          <w:sz w:val="32"/>
          <w:szCs w:val="32"/>
        </w:rPr>
        <w:br/>
        <w:t xml:space="preserve">    3、把经济工作的着力点放在营造良好发展环境、扶持典型进行示范引导上来，提高经济发展的质量和水平。</w:t>
      </w:r>
      <w:r>
        <w:rPr>
          <w:rFonts w:ascii="仿宋_GB2312" w:eastAsia="仿宋_GB2312" w:hint="eastAsia"/>
          <w:sz w:val="32"/>
          <w:szCs w:val="32"/>
        </w:rPr>
        <w:br/>
      </w:r>
      <w:r>
        <w:rPr>
          <w:rFonts w:ascii="仿宋_GB2312" w:eastAsia="仿宋_GB2312" w:hint="eastAsia"/>
          <w:sz w:val="32"/>
          <w:szCs w:val="32"/>
        </w:rPr>
        <w:lastRenderedPageBreak/>
        <w:t xml:space="preserve">    4、做好乡村发展规划，推动产业结构调整。</w:t>
      </w:r>
      <w:r>
        <w:rPr>
          <w:rFonts w:ascii="仿宋_GB2312" w:eastAsia="仿宋_GB2312" w:hint="eastAsia"/>
          <w:sz w:val="32"/>
          <w:szCs w:val="32"/>
        </w:rPr>
        <w:br/>
        <w:t xml:space="preserve">    5、加强农村基础设施、新型农村服务体系、村镇规划建设，落实强农惠农措施，着力解决群众生产生活中的突出问题，切实维护农民合法权益。尊重农民的生产经营自主权，不得干预企业的具体生产经营活动。</w:t>
      </w:r>
      <w:r>
        <w:rPr>
          <w:rFonts w:ascii="仿宋_GB2312" w:eastAsia="仿宋_GB2312" w:hint="eastAsia"/>
          <w:sz w:val="32"/>
          <w:szCs w:val="32"/>
        </w:rPr>
        <w:br/>
        <w:t xml:space="preserve">    6、增强社会管理和公共服务职能。拓宽服务渠道，改进服务方式，通过“一站式”服务、办事代理制等多种形式，方便群众办事。</w:t>
      </w:r>
      <w:r>
        <w:rPr>
          <w:rFonts w:ascii="仿宋_GB2312" w:eastAsia="仿宋_GB2312" w:hint="eastAsia"/>
          <w:sz w:val="32"/>
          <w:szCs w:val="32"/>
        </w:rPr>
        <w:br/>
        <w:t xml:space="preserve">    7、推进依法行政，严格依法履行职责，为农民提供更多的公共服务，促进社会事业发展。综合发挥人民调解、行政调解和司法调解的作用，加强农村社会治安综合治理，及时化解农村社会矛盾，确保社会和谐。指导村民自治，推动农村建设，促进社会组织健康发展，增强社会自治功能。</w:t>
      </w:r>
      <w:r>
        <w:rPr>
          <w:rFonts w:ascii="仿宋_GB2312" w:eastAsia="仿宋_GB2312" w:hint="eastAsia"/>
          <w:sz w:val="32"/>
          <w:szCs w:val="32"/>
        </w:rPr>
        <w:br/>
        <w:t xml:space="preserve">    8、加强乡镇对村（居）民委员会选举、村务公开、资产财务的指导和监管。</w:t>
      </w:r>
      <w:r>
        <w:rPr>
          <w:rFonts w:ascii="仿宋_GB2312" w:eastAsia="仿宋_GB2312" w:hint="eastAsia"/>
          <w:sz w:val="32"/>
          <w:szCs w:val="32"/>
        </w:rPr>
        <w:br/>
        <w:t xml:space="preserve">    9、加强国家级历史文化名镇的保护与管理，弘扬民族历史文化工作。</w:t>
      </w:r>
      <w:r>
        <w:rPr>
          <w:rFonts w:ascii="仿宋_GB2312" w:eastAsia="仿宋_GB2312" w:hint="eastAsia"/>
          <w:sz w:val="32"/>
          <w:szCs w:val="32"/>
        </w:rPr>
        <w:br/>
        <w:t xml:space="preserve">    10、承办上级党委、政府交办的其它工作。 </w:t>
      </w:r>
    </w:p>
    <w:p w:rsidR="00881E76" w:rsidRDefault="00C6647D">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881E76" w:rsidRDefault="00C6647D">
      <w:pPr>
        <w:spacing w:line="540" w:lineRule="exact"/>
        <w:ind w:firstLineChars="200" w:firstLine="640"/>
        <w:rPr>
          <w:rFonts w:ascii="仿宋_GB2312" w:eastAsia="仿宋_GB2312" w:hAnsi="宋体" w:cs="宋体"/>
          <w:kern w:val="0"/>
          <w:sz w:val="32"/>
          <w:szCs w:val="32"/>
        </w:rPr>
      </w:pPr>
      <w:bookmarkStart w:id="3" w:name="OLE_LINK51"/>
      <w:r>
        <w:rPr>
          <w:rFonts w:ascii="仿宋_GB2312" w:eastAsia="仿宋_GB2312" w:hint="eastAsia"/>
          <w:sz w:val="32"/>
          <w:szCs w:val="32"/>
        </w:rPr>
        <w:t>从决算单位构成看，</w:t>
      </w:r>
      <w:r>
        <w:rPr>
          <w:rFonts w:ascii="仿宋_GB2312" w:eastAsia="仿宋_GB2312"/>
          <w:sz w:val="32"/>
          <w:szCs w:val="32"/>
        </w:rPr>
        <w:t>新疆喀什地区英吉沙县托普鲁克乡人民政府（本级）</w:t>
      </w:r>
      <w:r>
        <w:rPr>
          <w:rFonts w:ascii="仿宋_GB2312" w:eastAsia="仿宋_GB2312" w:hint="eastAsia"/>
          <w:sz w:val="32"/>
          <w:szCs w:val="32"/>
        </w:rPr>
        <w:t>部门决算包括：</w:t>
      </w:r>
      <w:r>
        <w:rPr>
          <w:rFonts w:ascii="仿宋_GB2312" w:eastAsia="仿宋_GB2312"/>
          <w:sz w:val="32"/>
          <w:szCs w:val="32"/>
        </w:rPr>
        <w:t>新疆喀什地区英吉沙县托普鲁克乡人民政府（本级）</w:t>
      </w:r>
      <w:r>
        <w:rPr>
          <w:rFonts w:ascii="仿宋_GB2312" w:eastAsia="仿宋_GB2312" w:hint="eastAsia"/>
          <w:sz w:val="32"/>
          <w:szCs w:val="32"/>
        </w:rPr>
        <w:t>部门本级决算、所属单位决算等。</w:t>
      </w:r>
    </w:p>
    <w:p w:rsidR="00881E76" w:rsidRDefault="00C6647D">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新疆喀什地区英吉沙县托普鲁克乡人民政府（本级）</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3"/>
    </w:p>
    <w:p w:rsidR="00881E76" w:rsidRDefault="00881E76">
      <w:pPr>
        <w:spacing w:line="540" w:lineRule="exact"/>
        <w:ind w:firstLineChars="200" w:firstLine="616"/>
        <w:rPr>
          <w:rFonts w:ascii="仿宋_GB2312" w:eastAsia="仿宋_GB2312"/>
          <w:spacing w:val="-6"/>
          <w:sz w:val="32"/>
          <w:szCs w:val="32"/>
        </w:rPr>
      </w:pPr>
    </w:p>
    <w:p w:rsidR="00881E76" w:rsidRDefault="00881E76">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881E76">
        <w:trPr>
          <w:trHeight w:hRule="exact" w:val="510"/>
        </w:trPr>
        <w:tc>
          <w:tcPr>
            <w:tcW w:w="3056" w:type="dxa"/>
            <w:vAlign w:val="center"/>
          </w:tcPr>
          <w:p w:rsidR="00881E76" w:rsidRDefault="00C6647D">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881E76" w:rsidRDefault="00C6647D">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881E76" w:rsidRDefault="00C6647D">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881E76">
        <w:tc>
          <w:tcPr>
            <w:tcW w:w="3056" w:type="dxa"/>
          </w:tcPr>
          <w:p w:rsidR="00881E76" w:rsidRDefault="00C6647D">
            <w:pPr>
              <w:spacing w:line="500" w:lineRule="exact"/>
              <w:ind w:firstLineChars="200" w:firstLine="640"/>
              <w:jc w:val="left"/>
            </w:pPr>
            <w:r>
              <w:rPr>
                <w:rFonts w:eastAsia="Times New Roman"/>
                <w:color w:val="000000"/>
                <w:position w:val="-1"/>
                <w:sz w:val="32"/>
              </w:rPr>
              <w:t>1</w:t>
            </w:r>
          </w:p>
        </w:tc>
        <w:tc>
          <w:tcPr>
            <w:tcW w:w="3870" w:type="dxa"/>
          </w:tcPr>
          <w:p w:rsidR="00881E76" w:rsidRDefault="00C6647D">
            <w:pPr>
              <w:spacing w:line="500" w:lineRule="exact"/>
              <w:ind w:firstLineChars="200" w:firstLine="640"/>
              <w:jc w:val="left"/>
            </w:pPr>
            <w:proofErr w:type="spellStart"/>
            <w:r>
              <w:rPr>
                <w:rFonts w:eastAsia="Times New Roman"/>
                <w:color w:val="000000"/>
                <w:position w:val="-1"/>
                <w:sz w:val="32"/>
              </w:rPr>
              <w:t>新疆喀什地区英吉沙县托普鲁克乡人民政府（本级</w:t>
            </w:r>
            <w:proofErr w:type="spellEnd"/>
          </w:p>
        </w:tc>
        <w:tc>
          <w:tcPr>
            <w:tcW w:w="2538" w:type="dxa"/>
            <w:vAlign w:val="center"/>
          </w:tcPr>
          <w:p w:rsidR="00881E76" w:rsidRDefault="00881E76">
            <w:pPr>
              <w:spacing w:line="500" w:lineRule="exact"/>
              <w:ind w:firstLineChars="200" w:firstLine="420"/>
              <w:jc w:val="left"/>
            </w:pPr>
          </w:p>
        </w:tc>
      </w:tr>
    </w:tbl>
    <w:p w:rsidR="00881E76" w:rsidRDefault="00881E76">
      <w:pPr>
        <w:spacing w:line="500" w:lineRule="exact"/>
        <w:rPr>
          <w:rFonts w:ascii="仿宋_GB2312" w:eastAsia="仿宋_GB2312" w:hAnsi="宋体" w:cs="宋体"/>
          <w:kern w:val="0"/>
          <w:sz w:val="32"/>
          <w:szCs w:val="32"/>
        </w:rPr>
      </w:pPr>
    </w:p>
    <w:p w:rsidR="00881E76" w:rsidRDefault="00881E76">
      <w:pPr>
        <w:spacing w:line="500" w:lineRule="exact"/>
        <w:rPr>
          <w:rFonts w:ascii="仿宋_GB2312" w:eastAsia="仿宋_GB2312" w:hAnsi="宋体" w:cs="宋体"/>
          <w:kern w:val="0"/>
          <w:sz w:val="32"/>
          <w:szCs w:val="32"/>
        </w:rPr>
      </w:pPr>
    </w:p>
    <w:p w:rsidR="00881E76" w:rsidRDefault="00C6647D">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881E76" w:rsidRDefault="00C6647D">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881E76" w:rsidRDefault="00C6647D">
      <w:pPr>
        <w:spacing w:line="540" w:lineRule="exact"/>
        <w:ind w:firstLineChars="200" w:firstLine="640"/>
        <w:rPr>
          <w:rFonts w:ascii="仿宋_GB2312" w:eastAsia="仿宋_GB2312" w:hAnsi="Calibri"/>
          <w:color w:val="000000" w:themeColor="text1"/>
          <w:sz w:val="32"/>
          <w:szCs w:val="32"/>
          <w:lang w:val="en-GB"/>
        </w:rPr>
      </w:pPr>
      <w:bookmarkStart w:id="4" w:name="OLE_LINK100"/>
      <w:bookmarkStart w:id="5" w:name="OLE_LINK99"/>
      <w:bookmarkStart w:id="6"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3,165.16</w:t>
      </w:r>
      <w:r>
        <w:rPr>
          <w:rFonts w:ascii="仿宋_GB2312" w:eastAsia="仿宋_GB2312" w:hint="eastAsia"/>
          <w:color w:val="000000" w:themeColor="text1"/>
          <w:sz w:val="32"/>
          <w:szCs w:val="32"/>
        </w:rPr>
        <w:t>万元</w:t>
      </w:r>
      <w:bookmarkEnd w:id="4"/>
      <w:bookmarkEnd w:id="5"/>
      <w:r>
        <w:rPr>
          <w:rFonts w:ascii="仿宋_GB2312" w:eastAsia="仿宋_GB2312" w:hint="eastAsia"/>
          <w:sz w:val="32"/>
          <w:szCs w:val="32"/>
        </w:rPr>
        <w:t>，与上年相比，增加1,173.68万元，增长58.94%，增减变化主要原因是：</w:t>
      </w:r>
      <w:r>
        <w:rPr>
          <w:rFonts w:ascii="仿宋_GB2312" w:eastAsia="仿宋_GB2312" w:hint="eastAsia"/>
          <w:color w:val="000000" w:themeColor="text1"/>
          <w:sz w:val="32"/>
          <w:szCs w:val="32"/>
        </w:rPr>
        <w:t>由于惠农补贴项目增多，补贴收入增加；</w:t>
      </w:r>
      <w:bookmarkStart w:id="7" w:name="OLE_LINK53"/>
      <w:bookmarkEnd w:id="6"/>
      <w:r>
        <w:rPr>
          <w:rFonts w:ascii="仿宋_GB2312" w:eastAsia="仿宋_GB2312" w:hint="eastAsia"/>
          <w:color w:val="000000" w:themeColor="text1"/>
          <w:sz w:val="32"/>
          <w:szCs w:val="32"/>
        </w:rPr>
        <w:t>支出</w:t>
      </w:r>
      <w:r>
        <w:rPr>
          <w:rFonts w:ascii="仿宋_GB2312" w:eastAsia="仿宋_GB2312" w:hint="eastAsia"/>
          <w:sz w:val="32"/>
          <w:szCs w:val="32"/>
        </w:rPr>
        <w:t>3,535.16</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，与上年相比，增加1,913.68万元，增长118.02%，增减变化主要原因是：</w:t>
      </w:r>
      <w:r>
        <w:rPr>
          <w:rFonts w:ascii="仿宋_GB2312" w:eastAsia="仿宋_GB2312" w:hint="eastAsia"/>
          <w:color w:val="000000" w:themeColor="text1"/>
          <w:sz w:val="32"/>
          <w:szCs w:val="32"/>
        </w:rPr>
        <w:t>由于惠农补贴项目增多，补贴支出增加；</w:t>
      </w:r>
      <w:bookmarkStart w:id="8" w:name="OLE_LINK54"/>
      <w:bookmarkEnd w:id="7"/>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，与上年相比，减少370万元，降低100%，增减变化主要原因是：</w:t>
      </w:r>
      <w:r>
        <w:rPr>
          <w:rFonts w:ascii="仿宋_GB2312" w:eastAsia="仿宋_GB2312"/>
          <w:color w:val="000000" w:themeColor="text1"/>
          <w:sz w:val="32"/>
          <w:szCs w:val="32"/>
        </w:rPr>
        <w:t>本年项目执行到位，年末无结余结转。</w:t>
      </w:r>
      <w:bookmarkEnd w:id="8"/>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881E76" w:rsidRDefault="00C6647D">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3,165.16</w:t>
      </w:r>
      <w:r>
        <w:rPr>
          <w:rFonts w:ascii="仿宋_GB2312" w:eastAsia="仿宋_GB2312" w:hint="eastAsia"/>
          <w:color w:val="000000" w:themeColor="text1"/>
          <w:sz w:val="32"/>
          <w:szCs w:val="32"/>
        </w:rPr>
        <w:t>万元，其中：</w:t>
      </w:r>
      <w:bookmarkStart w:id="9" w:name="OLE_LINK1"/>
      <w:r>
        <w:rPr>
          <w:rFonts w:ascii="仿宋_GB2312" w:eastAsia="仿宋_GB2312" w:hint="eastAsia"/>
          <w:color w:val="000000" w:themeColor="text1"/>
          <w:sz w:val="32"/>
          <w:szCs w:val="32"/>
        </w:rPr>
        <w:t>财政拨款收入</w:t>
      </w:r>
      <w:bookmarkEnd w:id="9"/>
      <w:r>
        <w:rPr>
          <w:rFonts w:ascii="仿宋_GB2312" w:eastAsia="仿宋_GB2312" w:hint="eastAsia"/>
          <w:sz w:val="32"/>
          <w:szCs w:val="32"/>
        </w:rPr>
        <w:t>2,940.82</w:t>
      </w:r>
      <w:r>
        <w:rPr>
          <w:rFonts w:ascii="仿宋_GB2312" w:eastAsia="仿宋_GB2312" w:hint="eastAsia"/>
          <w:color w:val="000000" w:themeColor="text1"/>
          <w:sz w:val="32"/>
          <w:szCs w:val="32"/>
        </w:rPr>
        <w:t>万元，占</w:t>
      </w:r>
      <w:r>
        <w:rPr>
          <w:rFonts w:ascii="仿宋_GB2312" w:eastAsia="仿宋_GB2312" w:hint="eastAsia"/>
          <w:sz w:val="32"/>
          <w:szCs w:val="32"/>
        </w:rPr>
        <w:t>92.91%</w:t>
      </w:r>
      <w:r>
        <w:rPr>
          <w:rFonts w:ascii="仿宋_GB2312" w:eastAsia="仿宋_GB2312" w:hint="eastAsia"/>
          <w:color w:val="000000" w:themeColor="text1"/>
          <w:sz w:val="32"/>
          <w:szCs w:val="32"/>
        </w:rPr>
        <w:t>；</w:t>
      </w:r>
      <w:bookmarkStart w:id="10" w:name="OLE_LINK2"/>
      <w:r>
        <w:rPr>
          <w:rFonts w:ascii="仿宋_GB2312" w:eastAsia="仿宋_GB2312" w:hint="eastAsia"/>
          <w:color w:val="000000" w:themeColor="text1"/>
          <w:sz w:val="32"/>
          <w:szCs w:val="32"/>
        </w:rPr>
        <w:t>上级补助收入</w:t>
      </w:r>
      <w:bookmarkEnd w:id="1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1" w:name="OLE_LINK3"/>
      <w:r>
        <w:rPr>
          <w:rFonts w:ascii="仿宋_GB2312" w:eastAsia="仿宋_GB2312" w:hint="eastAsia"/>
          <w:color w:val="000000" w:themeColor="text1"/>
          <w:sz w:val="32"/>
          <w:szCs w:val="32"/>
        </w:rPr>
        <w:t>事业收入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4"/>
      <w:r>
        <w:rPr>
          <w:rFonts w:ascii="仿宋_GB2312" w:eastAsia="仿宋_GB2312" w:hint="eastAsia"/>
          <w:color w:val="000000" w:themeColor="text1"/>
          <w:sz w:val="32"/>
          <w:szCs w:val="32"/>
        </w:rPr>
        <w:t>经营收入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5"/>
      <w:r>
        <w:rPr>
          <w:rFonts w:ascii="仿宋_GB2312" w:eastAsia="仿宋_GB2312" w:hint="eastAsia"/>
          <w:color w:val="000000" w:themeColor="text1"/>
          <w:sz w:val="32"/>
          <w:szCs w:val="32"/>
        </w:rPr>
        <w:t>附属单位缴款</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6"/>
      <w:r>
        <w:rPr>
          <w:rFonts w:ascii="仿宋_GB2312" w:eastAsia="仿宋_GB2312" w:hint="eastAsia"/>
          <w:color w:val="000000" w:themeColor="text1"/>
          <w:sz w:val="32"/>
          <w:szCs w:val="32"/>
        </w:rPr>
        <w:t>其他收入</w:t>
      </w:r>
      <w:bookmarkEnd w:id="14"/>
      <w:r>
        <w:rPr>
          <w:rFonts w:ascii="仿宋_GB2312" w:eastAsia="仿宋_GB2312" w:hint="eastAsia"/>
          <w:sz w:val="32"/>
          <w:szCs w:val="32"/>
        </w:rPr>
        <w:t>224.34</w:t>
      </w:r>
      <w:r>
        <w:rPr>
          <w:rFonts w:ascii="仿宋_GB2312" w:eastAsia="仿宋_GB2312" w:hint="eastAsia"/>
          <w:color w:val="000000" w:themeColor="text1"/>
          <w:sz w:val="32"/>
          <w:szCs w:val="32"/>
        </w:rPr>
        <w:t>万元，占</w:t>
      </w:r>
      <w:r>
        <w:rPr>
          <w:rFonts w:ascii="仿宋_GB2312" w:eastAsia="仿宋_GB2312" w:hint="eastAsia"/>
          <w:sz w:val="32"/>
          <w:szCs w:val="32"/>
        </w:rPr>
        <w:t>7.09%</w:t>
      </w:r>
      <w:r>
        <w:rPr>
          <w:rFonts w:ascii="仿宋_GB2312" w:eastAsia="仿宋_GB2312" w:hint="eastAsia"/>
          <w:color w:val="000000" w:themeColor="text1"/>
          <w:sz w:val="32"/>
          <w:szCs w:val="32"/>
        </w:rPr>
        <w:t>。</w:t>
      </w:r>
    </w:p>
    <w:p w:rsidR="00881E76" w:rsidRDefault="00C6647D">
      <w:pPr>
        <w:spacing w:line="540" w:lineRule="exact"/>
        <w:ind w:firstLineChars="200" w:firstLine="640"/>
        <w:rPr>
          <w:rFonts w:ascii="仿宋_GB2312" w:eastAsia="仿宋_GB2312"/>
          <w:sz w:val="32"/>
          <w:szCs w:val="32"/>
        </w:rPr>
      </w:pPr>
      <w:bookmarkStart w:id="15"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况：本年收入年初预算数1,035.35万元</w:t>
      </w:r>
      <w:r>
        <w:rPr>
          <w:rFonts w:ascii="仿宋_GB2312" w:eastAsia="仿宋_GB2312" w:hint="eastAsia"/>
          <w:sz w:val="32"/>
          <w:szCs w:val="32"/>
        </w:rPr>
        <w:t>，决算数3,165.16万元</w:t>
      </w:r>
      <w:r>
        <w:rPr>
          <w:rFonts w:ascii="仿宋_GB2312" w:eastAsia="仿宋_GB2312"/>
          <w:sz w:val="32"/>
          <w:szCs w:val="32"/>
        </w:rPr>
        <w:t>，预决算差异率205.71%，差异主要原因是由</w:t>
      </w:r>
      <w:r>
        <w:rPr>
          <w:rFonts w:ascii="仿宋_GB2312" w:eastAsia="仿宋_GB2312"/>
          <w:sz w:val="32"/>
          <w:szCs w:val="32"/>
        </w:rPr>
        <w:lastRenderedPageBreak/>
        <w:t>于惠农补贴项目增多，补贴收入增加。</w:t>
      </w:r>
      <w:bookmarkEnd w:id="15"/>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881E76" w:rsidRDefault="00C6647D">
      <w:pPr>
        <w:spacing w:line="540" w:lineRule="exact"/>
        <w:ind w:firstLineChars="200" w:firstLine="640"/>
        <w:rPr>
          <w:rFonts w:ascii="仿宋_GB2312" w:eastAsia="仿宋_GB2312"/>
          <w:color w:val="000000" w:themeColor="text1"/>
          <w:spacing w:val="-6"/>
          <w:sz w:val="32"/>
          <w:szCs w:val="32"/>
        </w:rPr>
      </w:pPr>
      <w:bookmarkStart w:id="16" w:name="OLE_LINK7"/>
      <w:r>
        <w:rPr>
          <w:rFonts w:ascii="仿宋_GB2312" w:eastAsia="仿宋_GB2312" w:hint="eastAsia"/>
          <w:color w:val="000000" w:themeColor="text1"/>
          <w:sz w:val="32"/>
          <w:szCs w:val="32"/>
        </w:rPr>
        <w:t>本年支出合计</w:t>
      </w:r>
      <w:bookmarkEnd w:id="16"/>
      <w:r>
        <w:rPr>
          <w:rFonts w:ascii="仿宋_GB2312" w:eastAsia="仿宋_GB2312" w:hint="eastAsia"/>
          <w:sz w:val="32"/>
          <w:szCs w:val="32"/>
        </w:rPr>
        <w:t>3,535.16</w:t>
      </w:r>
      <w:r>
        <w:rPr>
          <w:rFonts w:ascii="仿宋_GB2312" w:eastAsia="仿宋_GB2312" w:hint="eastAsia"/>
          <w:color w:val="000000" w:themeColor="text1"/>
          <w:sz w:val="32"/>
          <w:szCs w:val="32"/>
        </w:rPr>
        <w:t>万元，其中：</w:t>
      </w:r>
      <w:bookmarkStart w:id="17" w:name="OLE_LINK8"/>
      <w:r>
        <w:rPr>
          <w:rFonts w:ascii="仿宋_GB2312" w:eastAsia="仿宋_GB2312" w:hint="eastAsia"/>
          <w:color w:val="000000" w:themeColor="text1"/>
          <w:sz w:val="32"/>
          <w:szCs w:val="32"/>
        </w:rPr>
        <w:t>基本支出</w:t>
      </w:r>
      <w:bookmarkEnd w:id="17"/>
      <w:r>
        <w:rPr>
          <w:rFonts w:ascii="仿宋_GB2312" w:eastAsia="仿宋_GB2312" w:hint="eastAsia"/>
          <w:sz w:val="32"/>
          <w:szCs w:val="32"/>
        </w:rPr>
        <w:t>1,311.01</w:t>
      </w:r>
      <w:r>
        <w:rPr>
          <w:rFonts w:ascii="仿宋_GB2312" w:eastAsia="仿宋_GB2312" w:hint="eastAsia"/>
          <w:color w:val="000000" w:themeColor="text1"/>
          <w:sz w:val="32"/>
          <w:szCs w:val="32"/>
        </w:rPr>
        <w:t>万元，占</w:t>
      </w:r>
      <w:r>
        <w:rPr>
          <w:rFonts w:ascii="仿宋_GB2312" w:eastAsia="仿宋_GB2312" w:hint="eastAsia"/>
          <w:sz w:val="32"/>
          <w:szCs w:val="32"/>
        </w:rPr>
        <w:t>37.08%</w:t>
      </w:r>
      <w:r>
        <w:rPr>
          <w:rFonts w:ascii="仿宋_GB2312" w:eastAsia="仿宋_GB2312" w:hint="eastAsia"/>
          <w:color w:val="000000" w:themeColor="text1"/>
          <w:sz w:val="32"/>
          <w:szCs w:val="32"/>
        </w:rPr>
        <w:t>；</w:t>
      </w:r>
      <w:bookmarkStart w:id="18" w:name="OLE_LINK9"/>
      <w:r>
        <w:rPr>
          <w:rFonts w:ascii="仿宋_GB2312" w:eastAsia="仿宋_GB2312" w:hint="eastAsia"/>
          <w:color w:val="000000" w:themeColor="text1"/>
          <w:sz w:val="32"/>
          <w:szCs w:val="32"/>
        </w:rPr>
        <w:t>项目支出</w:t>
      </w:r>
      <w:bookmarkEnd w:id="18"/>
      <w:r>
        <w:rPr>
          <w:rFonts w:ascii="仿宋_GB2312" w:eastAsia="仿宋_GB2312" w:hint="eastAsia"/>
          <w:sz w:val="32"/>
          <w:szCs w:val="32"/>
        </w:rPr>
        <w:t>2,224.15</w:t>
      </w:r>
      <w:r>
        <w:rPr>
          <w:rFonts w:ascii="仿宋_GB2312" w:eastAsia="仿宋_GB2312" w:hint="eastAsia"/>
          <w:color w:val="000000" w:themeColor="text1"/>
          <w:sz w:val="32"/>
          <w:szCs w:val="32"/>
        </w:rPr>
        <w:t>万元，占</w:t>
      </w:r>
      <w:r>
        <w:rPr>
          <w:rFonts w:ascii="仿宋_GB2312" w:eastAsia="仿宋_GB2312" w:hint="eastAsia"/>
          <w:sz w:val="32"/>
          <w:szCs w:val="32"/>
        </w:rPr>
        <w:t>62.92%</w:t>
      </w:r>
      <w:r>
        <w:rPr>
          <w:rFonts w:ascii="仿宋_GB2312" w:eastAsia="仿宋_GB2312" w:hint="eastAsia"/>
          <w:color w:val="000000" w:themeColor="text1"/>
          <w:sz w:val="32"/>
          <w:szCs w:val="32"/>
        </w:rPr>
        <w:t>；</w:t>
      </w:r>
      <w:bookmarkStart w:id="19" w:name="OLE_LINK10"/>
      <w:r>
        <w:rPr>
          <w:rFonts w:ascii="仿宋_GB2312" w:eastAsia="仿宋_GB2312" w:hint="eastAsia"/>
          <w:color w:val="000000" w:themeColor="text1"/>
          <w:sz w:val="32"/>
          <w:szCs w:val="32"/>
        </w:rPr>
        <w:t>上缴上级支出</w:t>
      </w:r>
      <w:bookmarkEnd w:id="1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0" w:name="OLE_LINK11"/>
      <w:r>
        <w:rPr>
          <w:rFonts w:ascii="仿宋_GB2312" w:eastAsia="仿宋_GB2312" w:hint="eastAsia"/>
          <w:color w:val="000000" w:themeColor="text1"/>
          <w:spacing w:val="-6"/>
          <w:sz w:val="32"/>
          <w:szCs w:val="32"/>
        </w:rPr>
        <w:t>经营支出</w:t>
      </w:r>
      <w:bookmarkEnd w:id="20"/>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1" w:name="OLE_LINK12"/>
      <w:r>
        <w:rPr>
          <w:rFonts w:ascii="仿宋_GB2312" w:eastAsia="仿宋_GB2312" w:hint="eastAsia"/>
          <w:color w:val="000000" w:themeColor="text1"/>
          <w:spacing w:val="-6"/>
          <w:sz w:val="32"/>
          <w:szCs w:val="32"/>
        </w:rPr>
        <w:t>对附属单位补助支出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881E76" w:rsidRDefault="00C6647D">
      <w:pPr>
        <w:spacing w:line="540" w:lineRule="exact"/>
        <w:ind w:firstLineChars="200" w:firstLine="640"/>
        <w:rPr>
          <w:rFonts w:ascii="仿宋_GB2312" w:eastAsia="仿宋_GB2312"/>
          <w:sz w:val="32"/>
          <w:szCs w:val="32"/>
        </w:rPr>
      </w:pPr>
      <w:bookmarkStart w:id="22" w:name="OLE_LINK56"/>
      <w:r>
        <w:rPr>
          <w:rFonts w:ascii="仿宋_GB2312" w:eastAsia="仿宋_GB2312" w:hint="eastAsia"/>
          <w:color w:val="000000" w:themeColor="text1"/>
          <w:sz w:val="32"/>
          <w:szCs w:val="32"/>
        </w:rPr>
        <w:t>与年初预算数相比情况：本年支出年初预算数1,035.35万元，</w:t>
      </w:r>
      <w:r>
        <w:rPr>
          <w:rFonts w:ascii="仿宋_GB2312" w:eastAsia="仿宋_GB2312" w:hint="eastAsia"/>
          <w:sz w:val="32"/>
          <w:szCs w:val="32"/>
        </w:rPr>
        <w:t>决算数3,535.16万元</w:t>
      </w:r>
      <w:r>
        <w:rPr>
          <w:rFonts w:ascii="仿宋_GB2312" w:eastAsia="仿宋_GB2312"/>
          <w:sz w:val="32"/>
          <w:szCs w:val="32"/>
        </w:rPr>
        <w:t>，预决算差异率241.45%，差异主要原因是由于惠农补贴项目增多，补贴支出增加。</w:t>
      </w:r>
    </w:p>
    <w:bookmarkEnd w:id="22"/>
    <w:p w:rsidR="00881E76" w:rsidRDefault="00C6647D">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881E76" w:rsidRDefault="00C6647D">
      <w:pPr>
        <w:spacing w:line="540" w:lineRule="exact"/>
        <w:ind w:firstLineChars="200" w:firstLine="640"/>
        <w:rPr>
          <w:rFonts w:ascii="仿宋_GB2312" w:eastAsia="仿宋_GB2312"/>
          <w:color w:val="000000" w:themeColor="text1"/>
          <w:sz w:val="32"/>
          <w:szCs w:val="32"/>
        </w:rPr>
      </w:pPr>
      <w:bookmarkStart w:id="23" w:name="OLE_LINK57"/>
      <w:bookmarkStart w:id="24" w:name="OLE_LINK58"/>
      <w:r>
        <w:rPr>
          <w:rFonts w:ascii="仿宋_GB2312" w:eastAsia="仿宋_GB2312" w:hint="eastAsia"/>
          <w:color w:val="000000" w:themeColor="text1"/>
          <w:sz w:val="32"/>
          <w:szCs w:val="32"/>
        </w:rPr>
        <w:t>2018年度</w:t>
      </w:r>
      <w:bookmarkStart w:id="25" w:name="OLE_LINK13"/>
      <w:r>
        <w:rPr>
          <w:rFonts w:ascii="仿宋_GB2312" w:eastAsia="仿宋_GB2312" w:hint="eastAsia"/>
          <w:color w:val="000000" w:themeColor="text1"/>
          <w:sz w:val="32"/>
          <w:szCs w:val="32"/>
        </w:rPr>
        <w:t>财政拨款收入</w:t>
      </w:r>
      <w:bookmarkEnd w:id="25"/>
      <w:r>
        <w:rPr>
          <w:rFonts w:ascii="仿宋_GB2312" w:eastAsia="仿宋_GB2312" w:hint="eastAsia"/>
          <w:sz w:val="32"/>
          <w:szCs w:val="32"/>
        </w:rPr>
        <w:t>2,940.82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，与上年相比，增加1,319.34万元，增长81.37%，增减变化的主要原因是：由于惠农补贴项目增多，补贴收入增加。</w:t>
      </w:r>
      <w:bookmarkStart w:id="26" w:name="OLE_LINK14"/>
      <w:bookmarkStart w:id="27" w:name="OLE_LINK59"/>
      <w:bookmarkStart w:id="28" w:name="OLE_LINK60"/>
      <w:bookmarkEnd w:id="23"/>
      <w:bookmarkEnd w:id="24"/>
      <w:r>
        <w:rPr>
          <w:rFonts w:ascii="仿宋_GB2312" w:eastAsia="仿宋_GB2312" w:hint="eastAsia"/>
          <w:color w:val="000000" w:themeColor="text1"/>
          <w:sz w:val="32"/>
          <w:szCs w:val="32"/>
        </w:rPr>
        <w:t>财政拨款支出</w:t>
      </w:r>
      <w:bookmarkEnd w:id="26"/>
      <w:r>
        <w:rPr>
          <w:rFonts w:ascii="仿宋_GB2312" w:eastAsia="仿宋_GB2312" w:hint="eastAsia"/>
          <w:sz w:val="32"/>
          <w:szCs w:val="32"/>
        </w:rPr>
        <w:t>2,940.82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，与上年相比，增加1,319.34万元，增长81.37%，增减变化的主要原因是：</w:t>
      </w:r>
      <w:r>
        <w:rPr>
          <w:rFonts w:ascii="仿宋_GB2312" w:eastAsia="仿宋_GB2312"/>
          <w:sz w:val="32"/>
          <w:szCs w:val="32"/>
        </w:rPr>
        <w:t>由于惠农补贴项目增多，补贴支出增加。</w:t>
      </w:r>
      <w:bookmarkStart w:id="29" w:name="OLE_LINK61"/>
      <w:bookmarkEnd w:id="27"/>
      <w:bookmarkEnd w:id="28"/>
      <w:r>
        <w:rPr>
          <w:rFonts w:ascii="仿宋_GB2312" w:eastAsia="仿宋_GB2312" w:hint="eastAsia"/>
          <w:color w:val="000000" w:themeColor="text1"/>
          <w:sz w:val="32"/>
          <w:szCs w:val="32"/>
        </w:rPr>
        <w:t>其中：</w:t>
      </w:r>
      <w:bookmarkStart w:id="30" w:name="OLE_LINK15"/>
      <w:r>
        <w:rPr>
          <w:rFonts w:ascii="仿宋_GB2312" w:eastAsia="仿宋_GB2312" w:hint="eastAsia"/>
          <w:color w:val="000000" w:themeColor="text1"/>
          <w:sz w:val="32"/>
          <w:szCs w:val="32"/>
        </w:rPr>
        <w:t>基本支出</w:t>
      </w:r>
      <w:bookmarkEnd w:id="30"/>
      <w:r>
        <w:rPr>
          <w:rFonts w:ascii="仿宋_GB2312" w:eastAsia="仿宋_GB2312" w:hint="eastAsia"/>
          <w:sz w:val="32"/>
          <w:szCs w:val="32"/>
        </w:rPr>
        <w:t>1,234.91</w:t>
      </w:r>
      <w:r>
        <w:rPr>
          <w:rFonts w:ascii="仿宋_GB2312" w:eastAsia="仿宋_GB2312" w:hint="eastAsia"/>
          <w:color w:val="000000" w:themeColor="text1"/>
          <w:sz w:val="32"/>
          <w:szCs w:val="32"/>
        </w:rPr>
        <w:t>万元，项目支出</w:t>
      </w:r>
      <w:r>
        <w:rPr>
          <w:rFonts w:ascii="仿宋_GB2312" w:eastAsia="仿宋_GB2312" w:hint="eastAsia"/>
          <w:sz w:val="32"/>
          <w:szCs w:val="32"/>
        </w:rPr>
        <w:t>1,705.91</w:t>
      </w:r>
      <w:r>
        <w:rPr>
          <w:rFonts w:ascii="仿宋_GB2312" w:eastAsia="仿宋_GB2312" w:hint="eastAsia"/>
          <w:color w:val="000000" w:themeColor="text1"/>
          <w:sz w:val="32"/>
          <w:szCs w:val="32"/>
        </w:rPr>
        <w:t>万元。</w:t>
      </w:r>
      <w:bookmarkStart w:id="31" w:name="OLE_LINK16"/>
      <w:r>
        <w:rPr>
          <w:rFonts w:ascii="仿宋_GB2312" w:eastAsia="仿宋_GB2312" w:hint="eastAsia"/>
          <w:color w:val="000000" w:themeColor="text1"/>
          <w:sz w:val="32"/>
          <w:szCs w:val="32"/>
        </w:rPr>
        <w:t>财政拨款结转结余</w:t>
      </w:r>
      <w:bookmarkEnd w:id="31"/>
      <w:r>
        <w:rPr>
          <w:rFonts w:ascii="仿宋_GB2312" w:eastAsia="仿宋_GB2312" w:hint="eastAsia"/>
          <w:sz w:val="32"/>
          <w:szCs w:val="32"/>
        </w:rPr>
        <w:t>0</w:t>
      </w:r>
      <w:r>
        <w:rPr>
          <w:rFonts w:ascii="仿宋_GB2312" w:eastAsia="仿宋_GB2312" w:hint="eastAsia"/>
          <w:color w:val="000000" w:themeColor="text1"/>
          <w:sz w:val="32"/>
          <w:szCs w:val="32"/>
        </w:rPr>
        <w:t>万元</w:t>
      </w:r>
      <w:r w:rsidR="00480AEB">
        <w:rPr>
          <w:rFonts w:ascii="仿宋_GB2312" w:eastAsia="仿宋_GB2312" w:hint="eastAsia"/>
          <w:sz w:val="32"/>
          <w:szCs w:val="32"/>
        </w:rPr>
        <w:t>，与上年相比</w:t>
      </w:r>
      <w:r>
        <w:rPr>
          <w:rFonts w:ascii="仿宋_GB2312" w:eastAsia="仿宋_GB2312" w:hint="eastAsia"/>
          <w:sz w:val="32"/>
          <w:szCs w:val="32"/>
        </w:rPr>
        <w:t>，</w:t>
      </w:r>
      <w:r w:rsidR="00480AEB">
        <w:rPr>
          <w:rFonts w:ascii="仿宋_GB2312" w:eastAsia="仿宋_GB2312" w:hint="eastAsia"/>
          <w:sz w:val="32"/>
          <w:szCs w:val="32"/>
        </w:rPr>
        <w:t>增加0万元，增长0%，</w:t>
      </w:r>
      <w:r>
        <w:rPr>
          <w:rFonts w:ascii="仿宋_GB2312" w:eastAsia="仿宋_GB2312" w:hint="eastAsia"/>
          <w:sz w:val="32"/>
          <w:szCs w:val="32"/>
        </w:rPr>
        <w:t>主要原因是：项目执行到位，年末无结余结转。</w:t>
      </w:r>
      <w:bookmarkEnd w:id="29"/>
    </w:p>
    <w:p w:rsidR="00881E76" w:rsidRDefault="00C6647D">
      <w:pPr>
        <w:spacing w:line="540" w:lineRule="exact"/>
        <w:ind w:firstLineChars="200" w:firstLine="640"/>
        <w:rPr>
          <w:rFonts w:ascii="仿宋_GB2312" w:eastAsia="仿宋_GB2312"/>
          <w:color w:val="000000" w:themeColor="text1"/>
          <w:sz w:val="32"/>
          <w:szCs w:val="32"/>
        </w:rPr>
      </w:pPr>
      <w:bookmarkStart w:id="32"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1,035.35</w:t>
      </w:r>
      <w:r>
        <w:rPr>
          <w:rFonts w:ascii="仿宋_GB2312" w:eastAsia="仿宋_GB2312" w:hint="eastAsia"/>
          <w:color w:val="000000" w:themeColor="text1"/>
          <w:sz w:val="32"/>
          <w:szCs w:val="32"/>
        </w:rPr>
        <w:t>万元，决算数</w:t>
      </w:r>
      <w:r>
        <w:rPr>
          <w:rFonts w:ascii="仿宋_GB2312" w:eastAsia="仿宋_GB2312" w:hint="eastAsia"/>
          <w:sz w:val="32"/>
          <w:szCs w:val="32"/>
        </w:rPr>
        <w:t>2,940.82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，预决算差异率184.04%，差异主要原因是由于惠农补贴项目增多，补贴收入增加。</w:t>
      </w:r>
      <w:bookmarkStart w:id="33" w:name="OLE_LINK63"/>
      <w:bookmarkEnd w:id="32"/>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1,035.35</w:t>
      </w:r>
      <w:r>
        <w:rPr>
          <w:rFonts w:ascii="仿宋_GB2312" w:eastAsia="仿宋_GB2312" w:hint="eastAsia"/>
          <w:color w:val="000000" w:themeColor="text1"/>
          <w:sz w:val="32"/>
          <w:szCs w:val="32"/>
        </w:rPr>
        <w:t>万元，决算数</w:t>
      </w:r>
      <w:r>
        <w:rPr>
          <w:rFonts w:ascii="仿宋_GB2312" w:eastAsia="仿宋_GB2312" w:hint="eastAsia"/>
          <w:sz w:val="32"/>
          <w:szCs w:val="32"/>
        </w:rPr>
        <w:t>2,940.82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，预决算差异率184.04%，</w:t>
      </w:r>
      <w:r>
        <w:rPr>
          <w:rFonts w:ascii="仿宋_GB2312" w:eastAsia="仿宋_GB2312"/>
          <w:color w:val="000000" w:themeColor="text1"/>
          <w:sz w:val="32"/>
          <w:szCs w:val="32"/>
        </w:rPr>
        <w:lastRenderedPageBreak/>
        <w:t>差异主要原因是由于惠农补贴项目增多，补贴支出增加。</w:t>
      </w:r>
      <w:bookmarkEnd w:id="33"/>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881E76" w:rsidRDefault="00C6647D">
      <w:pPr>
        <w:spacing w:line="540" w:lineRule="exact"/>
        <w:ind w:firstLineChars="200" w:firstLine="640"/>
        <w:rPr>
          <w:rFonts w:ascii="仿宋_GB2312" w:eastAsia="仿宋_GB2312"/>
          <w:color w:val="000000" w:themeColor="text1"/>
          <w:sz w:val="32"/>
          <w:szCs w:val="32"/>
        </w:rPr>
      </w:pPr>
      <w:bookmarkStart w:id="34" w:name="OLE_LINK64"/>
      <w:r>
        <w:rPr>
          <w:rFonts w:ascii="仿宋_GB2312" w:eastAsia="仿宋_GB2312" w:hint="eastAsia"/>
          <w:color w:val="000000" w:themeColor="text1"/>
          <w:sz w:val="32"/>
          <w:szCs w:val="32"/>
        </w:rPr>
        <w:t>2018年度</w:t>
      </w:r>
      <w:bookmarkStart w:id="35" w:name="OLE_LINK17"/>
      <w:r>
        <w:rPr>
          <w:rFonts w:ascii="仿宋_GB2312" w:eastAsia="仿宋_GB2312" w:hint="eastAsia"/>
          <w:color w:val="000000" w:themeColor="text1"/>
          <w:sz w:val="32"/>
          <w:szCs w:val="32"/>
        </w:rPr>
        <w:t>一般公共预算财政拨款收入</w:t>
      </w:r>
      <w:bookmarkEnd w:id="35"/>
      <w:r>
        <w:rPr>
          <w:rFonts w:ascii="仿宋_GB2312" w:eastAsia="仿宋_GB2312"/>
          <w:color w:val="000000" w:themeColor="text1"/>
          <w:sz w:val="32"/>
          <w:szCs w:val="32"/>
        </w:rPr>
        <w:t>2,918.82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，与上年相比，增加1,297.34万元，增长80.01%，</w:t>
      </w:r>
      <w:r>
        <w:rPr>
          <w:rFonts w:ascii="仿宋_GB2312" w:eastAsia="仿宋_GB2312" w:hint="eastAsia"/>
          <w:sz w:val="32"/>
          <w:szCs w:val="32"/>
        </w:rPr>
        <w:t>增减变化</w:t>
      </w:r>
      <w:r>
        <w:rPr>
          <w:rFonts w:ascii="仿宋_GB2312" w:eastAsia="仿宋_GB2312"/>
          <w:color w:val="000000" w:themeColor="text1"/>
          <w:sz w:val="32"/>
          <w:szCs w:val="32"/>
        </w:rPr>
        <w:t>的主要原因是：由于惠农补贴项目增多，补贴收入增加。</w:t>
      </w:r>
      <w:bookmarkStart w:id="36" w:name="OLE_LINK18"/>
      <w:bookmarkStart w:id="37" w:name="OLE_LINK65"/>
      <w:bookmarkEnd w:id="34"/>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2,918.82</w:t>
      </w:r>
      <w:r>
        <w:rPr>
          <w:rFonts w:ascii="仿宋_GB2312" w:eastAsia="仿宋_GB2312" w:hint="eastAsia"/>
          <w:color w:val="000000" w:themeColor="text1"/>
          <w:sz w:val="32"/>
          <w:szCs w:val="32"/>
        </w:rPr>
        <w:t>万元</w:t>
      </w:r>
      <w:bookmarkEnd w:id="36"/>
      <w:r>
        <w:rPr>
          <w:rFonts w:ascii="仿宋_GB2312" w:eastAsia="仿宋_GB2312" w:hint="eastAsia"/>
          <w:sz w:val="32"/>
          <w:szCs w:val="32"/>
        </w:rPr>
        <w:t>，与上年相比，增加1,297.34万元，增长80.01%，增减变化的主要原因是：由于惠农补贴项目增多，补贴支出增加。</w:t>
      </w:r>
      <w:bookmarkEnd w:id="37"/>
      <w:r>
        <w:rPr>
          <w:rFonts w:ascii="仿宋_GB2312" w:eastAsia="仿宋_GB2312" w:hint="eastAsia"/>
          <w:color w:val="000000" w:themeColor="text1"/>
          <w:sz w:val="32"/>
          <w:szCs w:val="32"/>
        </w:rPr>
        <w:t>其中：</w:t>
      </w:r>
      <w:bookmarkStart w:id="38" w:name="OLE_LINK19"/>
      <w:r>
        <w:rPr>
          <w:rFonts w:ascii="仿宋_GB2312" w:eastAsia="仿宋_GB2312" w:hint="eastAsia"/>
          <w:color w:val="000000" w:themeColor="text1"/>
          <w:sz w:val="32"/>
          <w:szCs w:val="32"/>
        </w:rPr>
        <w:t>按功能分类科目（按类级科目公开）</w:t>
      </w:r>
      <w:bookmarkEnd w:id="38"/>
      <w:r>
        <w:rPr>
          <w:rFonts w:ascii="仿宋_GB2312" w:eastAsia="仿宋_GB2312" w:hint="eastAsia"/>
          <w:color w:val="000000" w:themeColor="text1"/>
          <w:sz w:val="32"/>
          <w:szCs w:val="32"/>
        </w:rPr>
        <w:t>，</w:t>
      </w:r>
      <w:r>
        <w:rPr>
          <w:rFonts w:ascii="仿宋_GB2312" w:eastAsia="仿宋_GB2312" w:hint="eastAsia"/>
          <w:sz w:val="32"/>
          <w:szCs w:val="32"/>
        </w:rPr>
        <w:t>国土海洋气象等支出2万元,住房保障支出253.4万元,一般公共服务支出975.86万元,农林水支出1,278.54万元,公共安全支出119.58万元,文化体育与传媒支出23.54万元,其他支出134.96万元,社会保障和就业支出130.94万元。</w:t>
      </w:r>
      <w:bookmarkStart w:id="39" w:name="OLE_LINK20"/>
      <w:bookmarkStart w:id="40" w:name="OLE_LINK21"/>
      <w:r>
        <w:rPr>
          <w:rFonts w:ascii="仿宋_GB2312" w:eastAsia="仿宋_GB2312" w:hint="eastAsia"/>
          <w:color w:val="000000" w:themeColor="text1"/>
          <w:sz w:val="32"/>
          <w:szCs w:val="32"/>
        </w:rPr>
        <w:t>按经济分类科目</w:t>
      </w:r>
      <w:bookmarkEnd w:id="39"/>
      <w:r>
        <w:rPr>
          <w:rFonts w:ascii="仿宋_GB2312" w:eastAsia="仿宋_GB2312" w:hint="eastAsia"/>
          <w:color w:val="000000" w:themeColor="text1"/>
          <w:sz w:val="32"/>
          <w:szCs w:val="32"/>
        </w:rPr>
        <w:t>（按类级科目公开）</w:t>
      </w:r>
      <w:bookmarkEnd w:id="40"/>
      <w:r>
        <w:rPr>
          <w:rFonts w:ascii="仿宋_GB2312" w:eastAsia="仿宋_GB2312" w:hint="eastAsia"/>
          <w:color w:val="000000" w:themeColor="text1"/>
          <w:sz w:val="32"/>
          <w:szCs w:val="32"/>
        </w:rPr>
        <w:t>，</w:t>
      </w:r>
      <w:r>
        <w:rPr>
          <w:rFonts w:ascii="仿宋_GB2312" w:eastAsia="仿宋_GB2312" w:hint="eastAsia"/>
          <w:sz w:val="32"/>
          <w:szCs w:val="32"/>
        </w:rPr>
        <w:t>工资福利支出956.58万元,商品和服务支出252.09万元，对个人和家庭补助支出</w:t>
      </w:r>
      <w:r w:rsidR="00FF224F">
        <w:rPr>
          <w:rFonts w:ascii="仿宋_GB2312" w:eastAsia="仿宋_GB2312" w:hint="eastAsia"/>
          <w:sz w:val="32"/>
          <w:szCs w:val="32"/>
        </w:rPr>
        <w:t>1710.15</w:t>
      </w:r>
      <w:r>
        <w:rPr>
          <w:rFonts w:ascii="仿宋_GB2312" w:eastAsia="仿宋_GB2312" w:hint="eastAsia"/>
          <w:sz w:val="32"/>
          <w:szCs w:val="32"/>
        </w:rPr>
        <w:t>万元。</w:t>
      </w:r>
    </w:p>
    <w:p w:rsidR="00881E76" w:rsidRDefault="00C6647D">
      <w:pPr>
        <w:spacing w:line="540" w:lineRule="exact"/>
        <w:ind w:firstLineChars="200" w:firstLine="640"/>
        <w:rPr>
          <w:rFonts w:ascii="仿宋_GB2312" w:eastAsia="仿宋_GB2312"/>
          <w:color w:val="000000" w:themeColor="text1"/>
          <w:sz w:val="32"/>
          <w:szCs w:val="32"/>
        </w:rPr>
      </w:pPr>
      <w:bookmarkStart w:id="41" w:name="OLE_LINK66"/>
      <w:bookmarkStart w:id="42"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1,035.35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2,918.82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，预决算差异率181.92%，差异主要原因是由于惠农补贴项目增多，补贴收入增加。</w:t>
      </w:r>
      <w:bookmarkStart w:id="43" w:name="OLE_LINK68"/>
      <w:bookmarkEnd w:id="41"/>
      <w:bookmarkEnd w:id="42"/>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1,035.35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2,918.82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，预决算差异率181.92%，差异主要原因是由于惠农补贴项目增多，补贴支出增加。</w:t>
      </w:r>
      <w:bookmarkEnd w:id="43"/>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881E76" w:rsidRDefault="00C6647D">
      <w:pPr>
        <w:spacing w:line="540" w:lineRule="exact"/>
        <w:ind w:firstLineChars="200" w:firstLine="640"/>
        <w:rPr>
          <w:rFonts w:ascii="仿宋_GB2312" w:eastAsia="仿宋_GB2312"/>
          <w:color w:val="000000" w:themeColor="text1"/>
          <w:sz w:val="32"/>
          <w:szCs w:val="32"/>
        </w:rPr>
      </w:pPr>
      <w:bookmarkStart w:id="44" w:name="OLE_LINK69"/>
      <w:r>
        <w:rPr>
          <w:rFonts w:ascii="仿宋_GB2312" w:eastAsia="仿宋_GB2312" w:hint="eastAsia"/>
          <w:color w:val="000000" w:themeColor="text1"/>
          <w:sz w:val="32"/>
          <w:szCs w:val="32"/>
        </w:rPr>
        <w:t>2018年度</w:t>
      </w:r>
      <w:bookmarkStart w:id="45" w:name="OLE_LINK22"/>
      <w:r>
        <w:rPr>
          <w:rFonts w:ascii="仿宋_GB2312" w:eastAsia="仿宋_GB2312" w:hint="eastAsia"/>
          <w:color w:val="000000" w:themeColor="text1"/>
          <w:sz w:val="32"/>
          <w:szCs w:val="32"/>
        </w:rPr>
        <w:t>政府性基金预算财政拨款收入</w:t>
      </w:r>
      <w:bookmarkEnd w:id="45"/>
      <w:r>
        <w:rPr>
          <w:rFonts w:ascii="仿宋_GB2312" w:eastAsia="仿宋_GB2312" w:hint="eastAsia"/>
          <w:sz w:val="32"/>
          <w:szCs w:val="32"/>
        </w:rPr>
        <w:t>22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，与上年相比，增加22万元，增长100%，增减变化的主要原因是：新增项目，主</w:t>
      </w:r>
      <w:r>
        <w:rPr>
          <w:rFonts w:ascii="仿宋_GB2312" w:eastAsia="仿宋_GB2312" w:hint="eastAsia"/>
          <w:sz w:val="32"/>
          <w:szCs w:val="32"/>
        </w:rPr>
        <w:lastRenderedPageBreak/>
        <w:t>要用于庭院经济项目。</w:t>
      </w:r>
      <w:bookmarkStart w:id="46" w:name="OLE_LINK23"/>
      <w:bookmarkStart w:id="47" w:name="OLE_LINK70"/>
      <w:bookmarkEnd w:id="44"/>
      <w:r>
        <w:rPr>
          <w:rFonts w:ascii="仿宋_GB2312" w:eastAsia="仿宋_GB2312" w:hint="eastAsia"/>
          <w:color w:val="000000" w:themeColor="text1"/>
          <w:sz w:val="32"/>
          <w:szCs w:val="32"/>
        </w:rPr>
        <w:t>政府性基金预算支出</w:t>
      </w:r>
      <w:bookmarkEnd w:id="46"/>
      <w:r>
        <w:rPr>
          <w:rFonts w:ascii="仿宋_GB2312" w:eastAsia="仿宋_GB2312" w:hint="eastAsia"/>
          <w:sz w:val="32"/>
          <w:szCs w:val="32"/>
        </w:rPr>
        <w:t>22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，与上年相比，增加22万元，增长100%，增减变化的主要原因是：新增项目，主要用于庭院经济项目。</w:t>
      </w:r>
      <w:bookmarkEnd w:id="47"/>
      <w:r>
        <w:rPr>
          <w:rFonts w:ascii="仿宋_GB2312" w:eastAsia="仿宋_GB2312" w:hint="eastAsia"/>
          <w:color w:val="000000" w:themeColor="text1"/>
          <w:sz w:val="32"/>
          <w:szCs w:val="32"/>
        </w:rPr>
        <w:t>其中：</w:t>
      </w:r>
      <w:bookmarkStart w:id="48" w:name="OLE_LINK24"/>
      <w:r>
        <w:rPr>
          <w:rFonts w:ascii="仿宋_GB2312" w:eastAsia="仿宋_GB2312" w:hint="eastAsia"/>
          <w:color w:val="000000" w:themeColor="text1"/>
          <w:sz w:val="32"/>
          <w:szCs w:val="32"/>
        </w:rPr>
        <w:t>按功能分类科目（按类级科目公开）</w:t>
      </w:r>
      <w:bookmarkEnd w:id="48"/>
      <w:r>
        <w:rPr>
          <w:rFonts w:ascii="仿宋_GB2312" w:eastAsia="仿宋_GB2312" w:hint="eastAsia"/>
          <w:color w:val="000000" w:themeColor="text1"/>
          <w:sz w:val="32"/>
          <w:szCs w:val="32"/>
        </w:rPr>
        <w:t>，商业服务业等支出22万元。按经济分类科目（按类级科目公开），对个人和家庭的补助22万元。</w:t>
      </w:r>
    </w:p>
    <w:p w:rsidR="00881E76" w:rsidRDefault="00C6647D">
      <w:pPr>
        <w:spacing w:line="540" w:lineRule="exact"/>
        <w:ind w:firstLineChars="200" w:firstLine="640"/>
        <w:rPr>
          <w:rFonts w:ascii="仿宋_GB2312" w:eastAsia="仿宋_GB2312"/>
          <w:color w:val="000000" w:themeColor="text1"/>
          <w:sz w:val="32"/>
          <w:szCs w:val="32"/>
        </w:rPr>
      </w:pPr>
      <w:bookmarkStart w:id="49" w:name="OLE_LINK72"/>
      <w:bookmarkStart w:id="50"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22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，预决算差异率100%，差异主要原因是新增项目，主要用于庭院经济项目。</w:t>
      </w:r>
      <w:bookmarkStart w:id="51" w:name="OLE_LINK73"/>
      <w:bookmarkEnd w:id="49"/>
      <w:bookmarkEnd w:id="50"/>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22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，预决算差异率100%，差异主要原因是新增项目，主要用于庭院经济项目。</w:t>
      </w:r>
      <w:bookmarkEnd w:id="51"/>
    </w:p>
    <w:p w:rsidR="00881E76" w:rsidRDefault="00C6647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881E76" w:rsidRDefault="00C6647D">
      <w:pPr>
        <w:spacing w:line="540" w:lineRule="exact"/>
        <w:ind w:firstLineChars="200" w:firstLine="640"/>
        <w:rPr>
          <w:rFonts w:ascii="仿宋_GB2312" w:eastAsia="仿宋_GB2312"/>
          <w:color w:val="000000" w:themeColor="text1"/>
          <w:sz w:val="32"/>
          <w:szCs w:val="32"/>
        </w:rPr>
      </w:pPr>
      <w:bookmarkStart w:id="52" w:name="OLE_LINK26"/>
      <w:bookmarkStart w:id="53" w:name="OLE_LINK25"/>
      <w:r>
        <w:rPr>
          <w:rFonts w:ascii="仿宋_GB2312" w:eastAsia="仿宋_GB2312" w:hint="eastAsia"/>
          <w:color w:val="000000" w:themeColor="text1"/>
          <w:sz w:val="32"/>
          <w:szCs w:val="32"/>
        </w:rPr>
        <w:t>年末结转结余</w:t>
      </w:r>
      <w:bookmarkEnd w:id="52"/>
      <w:bookmarkEnd w:id="53"/>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。与上年相比，减少370万元，降低100%</w:t>
      </w:r>
      <w:r>
        <w:rPr>
          <w:rFonts w:ascii="仿宋_GB2312" w:eastAsia="仿宋_GB2312" w:hint="eastAsia"/>
          <w:color w:val="000000" w:themeColor="text1"/>
          <w:sz w:val="32"/>
          <w:szCs w:val="32"/>
        </w:rPr>
        <w:t>。</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4" w:name="OLE_LINK27"/>
      <w:bookmarkStart w:id="55" w:name="OLE_LINK28"/>
      <w:r>
        <w:rPr>
          <w:rFonts w:ascii="仿宋_GB2312" w:eastAsia="仿宋_GB2312" w:hint="eastAsia"/>
          <w:color w:val="000000" w:themeColor="text1"/>
          <w:sz w:val="32"/>
          <w:szCs w:val="32"/>
        </w:rPr>
        <w:t>财政拨款结转结余</w:t>
      </w:r>
      <w:bookmarkEnd w:id="54"/>
      <w:bookmarkEnd w:id="55"/>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p>
    <w:p w:rsidR="00881E76" w:rsidRDefault="00C6647D">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881E76" w:rsidRDefault="00C6647D">
      <w:pPr>
        <w:spacing w:line="540" w:lineRule="exact"/>
        <w:ind w:firstLineChars="200" w:firstLine="640"/>
        <w:rPr>
          <w:rFonts w:ascii="仿宋_GB2312" w:eastAsia="仿宋_GB2312"/>
          <w:color w:val="000000" w:themeColor="text1"/>
          <w:sz w:val="32"/>
          <w:szCs w:val="32"/>
        </w:rPr>
      </w:pPr>
      <w:bookmarkStart w:id="56" w:name="OLE_LINK74"/>
      <w:r>
        <w:rPr>
          <w:rFonts w:ascii="仿宋_GB2312" w:eastAsia="仿宋_GB2312" w:hint="eastAsia"/>
          <w:color w:val="000000" w:themeColor="text1"/>
          <w:sz w:val="32"/>
          <w:szCs w:val="32"/>
        </w:rPr>
        <w:t>2018年度</w:t>
      </w:r>
      <w:bookmarkStart w:id="57" w:name="OLE_LINK29"/>
      <w:r>
        <w:rPr>
          <w:rFonts w:ascii="仿宋_GB2312" w:eastAsia="仿宋_GB2312" w:hint="eastAsia"/>
          <w:color w:val="000000" w:themeColor="text1"/>
          <w:sz w:val="32"/>
          <w:szCs w:val="32"/>
        </w:rPr>
        <w:t>一般公共预算“三公”经费支出决算</w:t>
      </w:r>
      <w:bookmarkEnd w:id="57"/>
      <w:r>
        <w:rPr>
          <w:rFonts w:ascii="仿宋_GB2312" w:eastAsia="仿宋_GB2312" w:hint="eastAsia"/>
          <w:sz w:val="32"/>
          <w:szCs w:val="32"/>
        </w:rPr>
        <w:t>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，与上年相比，减少0.2万元，降低6.25%，减少原因是：严格执行“三公”经费只减不增的要求。</w:t>
      </w:r>
      <w:bookmarkStart w:id="58" w:name="OLE_LINK75"/>
      <w:bookmarkEnd w:id="56"/>
      <w:r>
        <w:rPr>
          <w:rFonts w:ascii="仿宋_GB2312" w:eastAsia="仿宋_GB2312" w:hint="eastAsia"/>
          <w:color w:val="000000" w:themeColor="text1"/>
          <w:sz w:val="32"/>
          <w:szCs w:val="32"/>
        </w:rPr>
        <w:t>其中，</w:t>
      </w:r>
      <w:bookmarkStart w:id="59" w:name="OLE_LINK30"/>
      <w:r>
        <w:rPr>
          <w:rFonts w:ascii="仿宋_GB2312" w:eastAsia="仿宋_GB2312" w:hint="eastAsia"/>
          <w:color w:val="000000" w:themeColor="text1"/>
          <w:sz w:val="32"/>
          <w:szCs w:val="32"/>
        </w:rPr>
        <w:t>因公出国（境）费支出</w:t>
      </w:r>
      <w:bookmarkEnd w:id="59"/>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0%，比上年增加0万元,增长0%，增加原因是：本单位无此项预算安排；</w:t>
      </w:r>
      <w:bookmarkStart w:id="60" w:name="OLE_LINK31"/>
      <w:bookmarkStart w:id="61" w:name="OLE_LINK76"/>
      <w:bookmarkEnd w:id="58"/>
      <w:r>
        <w:rPr>
          <w:rFonts w:ascii="仿宋_GB2312" w:eastAsia="仿宋_GB2312" w:hint="eastAsia"/>
          <w:color w:val="000000" w:themeColor="text1"/>
          <w:sz w:val="32"/>
          <w:szCs w:val="32"/>
        </w:rPr>
        <w:t>公务用车购置及运行维护费支出</w:t>
      </w:r>
      <w:bookmarkEnd w:id="60"/>
      <w:r>
        <w:rPr>
          <w:rFonts w:ascii="仿宋_GB2312" w:eastAsia="仿宋_GB2312" w:hint="eastAsia"/>
          <w:sz w:val="32"/>
          <w:szCs w:val="32"/>
        </w:rPr>
        <w:t>3</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100%，与上年相比，减少0.2万元，降低6.25%，减少原因是：严格执行“三公”经费只减不增的要求；</w:t>
      </w:r>
      <w:bookmarkStart w:id="62" w:name="OLE_LINK32"/>
      <w:bookmarkStart w:id="63" w:name="OLE_LINK78"/>
      <w:bookmarkStart w:id="64" w:name="OLE_LINK77"/>
      <w:bookmarkEnd w:id="61"/>
      <w:r>
        <w:rPr>
          <w:rFonts w:ascii="仿宋_GB2312" w:eastAsia="仿宋_GB2312" w:hint="eastAsia"/>
          <w:color w:val="000000" w:themeColor="text1"/>
          <w:sz w:val="32"/>
          <w:szCs w:val="32"/>
        </w:rPr>
        <w:t>公务接待费支出</w:t>
      </w:r>
      <w:bookmarkEnd w:id="6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0%，比上年增加0万元,增长0%，主要原因是：本单位无此项预算安排。</w:t>
      </w:r>
      <w:bookmarkEnd w:id="63"/>
      <w:bookmarkEnd w:id="64"/>
      <w:r>
        <w:rPr>
          <w:rFonts w:ascii="仿宋_GB2312" w:eastAsia="仿宋_GB2312" w:hint="eastAsia"/>
          <w:color w:val="000000" w:themeColor="text1"/>
          <w:sz w:val="32"/>
          <w:szCs w:val="32"/>
        </w:rPr>
        <w:t>具体情况如下：</w:t>
      </w:r>
    </w:p>
    <w:p w:rsidR="00881E76" w:rsidRDefault="00C6647D">
      <w:pPr>
        <w:spacing w:line="540" w:lineRule="exact"/>
        <w:ind w:firstLineChars="200" w:firstLine="640"/>
        <w:rPr>
          <w:rFonts w:ascii="仿宋_GB2312" w:eastAsia="仿宋_GB2312"/>
          <w:color w:val="000000" w:themeColor="text1"/>
          <w:sz w:val="32"/>
          <w:szCs w:val="32"/>
        </w:rPr>
      </w:pPr>
      <w:bookmarkStart w:id="65" w:name="OLE_LINK79"/>
      <w:bookmarkStart w:id="66" w:name="OLE_LINK80"/>
      <w:r>
        <w:rPr>
          <w:rFonts w:ascii="仿宋_GB2312" w:eastAsia="仿宋_GB2312" w:hint="eastAsia"/>
          <w:color w:val="000000" w:themeColor="text1"/>
          <w:sz w:val="32"/>
          <w:szCs w:val="32"/>
        </w:rPr>
        <w:lastRenderedPageBreak/>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新疆喀什地区英吉沙县托普鲁克乡人民政府（本级）</w:t>
      </w:r>
      <w:r>
        <w:rPr>
          <w:rFonts w:ascii="仿宋_GB2312" w:eastAsia="仿宋_GB2312" w:hint="eastAsia"/>
          <w:color w:val="000000" w:themeColor="text1"/>
          <w:sz w:val="32"/>
          <w:szCs w:val="32"/>
        </w:rPr>
        <w:t>单位</w:t>
      </w:r>
      <w:bookmarkStart w:id="67" w:name="OLE_LINK33"/>
      <w:r>
        <w:rPr>
          <w:rFonts w:ascii="仿宋_GB2312" w:eastAsia="仿宋_GB2312" w:hint="eastAsia"/>
          <w:color w:val="000000" w:themeColor="text1"/>
          <w:sz w:val="32"/>
          <w:szCs w:val="32"/>
        </w:rPr>
        <w:t>全年</w:t>
      </w:r>
      <w:bookmarkStart w:id="68" w:name="OLE_LINK35"/>
      <w:bookmarkStart w:id="69" w:name="OLE_LINK34"/>
      <w:bookmarkStart w:id="70" w:name="OLE_LINK36"/>
      <w:r>
        <w:rPr>
          <w:rFonts w:ascii="仿宋_GB2312" w:eastAsia="仿宋_GB2312" w:hint="eastAsia"/>
          <w:color w:val="000000" w:themeColor="text1"/>
          <w:sz w:val="32"/>
          <w:szCs w:val="32"/>
        </w:rPr>
        <w:t>使用一般公共预算财政拨款安排的出国（境）团组</w:t>
      </w:r>
      <w:bookmarkEnd w:id="67"/>
      <w:bookmarkEnd w:id="68"/>
      <w:bookmarkEnd w:id="69"/>
      <w:r>
        <w:rPr>
          <w:rFonts w:ascii="仿宋_GB2312" w:eastAsia="仿宋_GB2312" w:hint="eastAsia"/>
          <w:sz w:val="32"/>
          <w:szCs w:val="32"/>
        </w:rPr>
        <w:t>0</w:t>
      </w:r>
      <w:r>
        <w:rPr>
          <w:rFonts w:ascii="仿宋_GB2312" w:eastAsia="仿宋_GB2312" w:hint="eastAsia"/>
          <w:color w:val="000000" w:themeColor="text1"/>
          <w:sz w:val="32"/>
          <w:szCs w:val="32"/>
        </w:rPr>
        <w:t>个</w:t>
      </w:r>
      <w:bookmarkEnd w:id="70"/>
      <w:r>
        <w:rPr>
          <w:rFonts w:ascii="仿宋_GB2312" w:eastAsia="仿宋_GB2312" w:hint="eastAsia"/>
          <w:color w:val="000000" w:themeColor="text1"/>
          <w:sz w:val="32"/>
          <w:szCs w:val="32"/>
        </w:rPr>
        <w:t>，</w:t>
      </w:r>
      <w:bookmarkStart w:id="71"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1"/>
      <w:r>
        <w:rPr>
          <w:rFonts w:ascii="仿宋_GB2312" w:eastAsia="仿宋_GB2312" w:hint="eastAsia"/>
          <w:color w:val="000000" w:themeColor="text1"/>
          <w:sz w:val="32"/>
          <w:szCs w:val="32"/>
        </w:rPr>
        <w:t>。</w:t>
      </w:r>
      <w:bookmarkStart w:id="72"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rsidR="00881E76" w:rsidRDefault="00C6647D">
      <w:pPr>
        <w:spacing w:line="540" w:lineRule="exact"/>
        <w:ind w:firstLineChars="200" w:firstLine="640"/>
        <w:rPr>
          <w:rFonts w:ascii="仿宋_GB2312" w:eastAsia="仿宋_GB2312"/>
          <w:color w:val="000000" w:themeColor="text1"/>
          <w:sz w:val="32"/>
          <w:szCs w:val="32"/>
        </w:rPr>
      </w:pPr>
      <w:bookmarkStart w:id="73"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3</w:t>
      </w:r>
      <w:r>
        <w:rPr>
          <w:rFonts w:ascii="仿宋_GB2312" w:eastAsia="仿宋_GB2312" w:hint="eastAsia"/>
          <w:color w:val="000000" w:themeColor="text1"/>
          <w:sz w:val="32"/>
          <w:szCs w:val="32"/>
        </w:rPr>
        <w:t>万元,其中，</w:t>
      </w:r>
      <w:bookmarkStart w:id="74"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4"/>
      <w:r>
        <w:rPr>
          <w:rFonts w:ascii="仿宋_GB2312" w:eastAsia="仿宋_GB2312" w:hint="eastAsia"/>
          <w:color w:val="000000" w:themeColor="text1"/>
          <w:sz w:val="32"/>
          <w:szCs w:val="32"/>
        </w:rPr>
        <w:t>，</w:t>
      </w:r>
      <w:bookmarkStart w:id="75" w:name="OLE_LINK40"/>
      <w:bookmarkStart w:id="76" w:name="OLE_LINK41"/>
      <w:r>
        <w:rPr>
          <w:rFonts w:ascii="仿宋_GB2312" w:eastAsia="仿宋_GB2312" w:hint="eastAsia"/>
          <w:color w:val="000000" w:themeColor="text1"/>
          <w:sz w:val="32"/>
          <w:szCs w:val="32"/>
        </w:rPr>
        <w:t>公务用车运行维护费</w:t>
      </w:r>
      <w:r>
        <w:rPr>
          <w:rFonts w:ascii="仿宋_GB2312" w:eastAsia="仿宋_GB2312" w:hint="eastAsia"/>
          <w:sz w:val="32"/>
          <w:szCs w:val="32"/>
        </w:rPr>
        <w:t>3</w:t>
      </w:r>
      <w:r>
        <w:rPr>
          <w:rFonts w:ascii="仿宋_GB2312" w:eastAsia="仿宋_GB2312" w:hint="eastAsia"/>
          <w:color w:val="000000" w:themeColor="text1"/>
          <w:sz w:val="32"/>
          <w:szCs w:val="32"/>
        </w:rPr>
        <w:t>万元</w:t>
      </w:r>
      <w:bookmarkEnd w:id="75"/>
      <w:bookmarkEnd w:id="76"/>
      <w:r>
        <w:rPr>
          <w:rFonts w:ascii="仿宋_GB2312" w:eastAsia="仿宋_GB2312" w:hint="eastAsia"/>
          <w:color w:val="000000" w:themeColor="text1"/>
          <w:sz w:val="32"/>
          <w:szCs w:val="32"/>
        </w:rPr>
        <w:t>。主要用于</w:t>
      </w:r>
      <w:r>
        <w:rPr>
          <w:rFonts w:ascii="仿宋_GB2312" w:eastAsia="仿宋_GB2312" w:hint="eastAsia"/>
          <w:sz w:val="32"/>
          <w:szCs w:val="32"/>
        </w:rPr>
        <w:t>汽车加油费、维修费、过路费、保险费</w:t>
      </w:r>
      <w:r>
        <w:rPr>
          <w:rFonts w:ascii="仿宋_GB2312" w:eastAsia="仿宋_GB2312" w:hint="eastAsia"/>
          <w:color w:val="000000" w:themeColor="text1"/>
          <w:sz w:val="32"/>
          <w:szCs w:val="32"/>
        </w:rPr>
        <w:t>等。</w:t>
      </w:r>
      <w:bookmarkStart w:id="77" w:name="OLE_LINK82"/>
      <w:bookmarkEnd w:id="73"/>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2</w:t>
      </w:r>
      <w:r>
        <w:rPr>
          <w:rFonts w:ascii="仿宋_GB2312" w:eastAsia="仿宋_GB2312" w:hint="eastAsia"/>
          <w:color w:val="000000" w:themeColor="text1"/>
          <w:sz w:val="32"/>
          <w:szCs w:val="32"/>
        </w:rPr>
        <w:t>辆。</w:t>
      </w:r>
      <w:bookmarkEnd w:id="77"/>
    </w:p>
    <w:p w:rsidR="00881E76" w:rsidRDefault="00C6647D">
      <w:pPr>
        <w:spacing w:line="540" w:lineRule="exact"/>
        <w:ind w:firstLineChars="200" w:firstLine="640"/>
        <w:rPr>
          <w:rFonts w:ascii="仿宋_GB2312" w:eastAsia="仿宋_GB2312"/>
          <w:color w:val="000000" w:themeColor="text1"/>
          <w:sz w:val="32"/>
          <w:szCs w:val="32"/>
        </w:rPr>
      </w:pPr>
      <w:bookmarkStart w:id="78"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9" w:name="OLE_LINK84"/>
      <w:bookmarkEnd w:id="78"/>
      <w:r>
        <w:rPr>
          <w:rFonts w:ascii="仿宋_GB2312" w:eastAsia="仿宋_GB2312" w:hint="eastAsia"/>
          <w:sz w:val="32"/>
          <w:szCs w:val="32"/>
        </w:rPr>
        <w:t>新疆喀什地区英吉沙县托普鲁克乡人民政府（本级）</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9"/>
    </w:p>
    <w:p w:rsidR="00881E76" w:rsidRDefault="00C6647D">
      <w:pPr>
        <w:spacing w:line="540" w:lineRule="exact"/>
        <w:ind w:firstLineChars="200" w:firstLine="640"/>
        <w:rPr>
          <w:rFonts w:ascii="仿宋_GB2312" w:eastAsia="仿宋_GB2312" w:hAnsi="宋体" w:cs="宋体"/>
          <w:color w:val="000000" w:themeColor="text1"/>
          <w:kern w:val="0"/>
          <w:sz w:val="32"/>
          <w:szCs w:val="32"/>
        </w:rPr>
      </w:pPr>
      <w:bookmarkStart w:id="80"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万元，决算数3万元</w:t>
      </w:r>
      <w:r>
        <w:rPr>
          <w:rFonts w:ascii="仿宋_GB2312" w:eastAsia="仿宋_GB2312"/>
          <w:color w:val="000000" w:themeColor="text1"/>
          <w:sz w:val="32"/>
          <w:szCs w:val="32"/>
        </w:rPr>
        <w:t>，预决算差异率</w:t>
      </w:r>
      <w:r>
        <w:rPr>
          <w:rFonts w:ascii="仿宋_GB2312" w:eastAsia="仿宋_GB2312" w:hint="eastAsia"/>
          <w:color w:val="000000" w:themeColor="text1"/>
          <w:sz w:val="32"/>
          <w:szCs w:val="32"/>
        </w:rPr>
        <w:t>-</w:t>
      </w:r>
      <w:r>
        <w:rPr>
          <w:rFonts w:ascii="仿宋_GB2312" w:eastAsia="仿宋_GB2312"/>
          <w:color w:val="000000" w:themeColor="text1"/>
          <w:sz w:val="32"/>
          <w:szCs w:val="32"/>
        </w:rPr>
        <w:t>20%，差异主要原因是严格执行</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经费只减不增的要求。</w:t>
      </w:r>
      <w:bookmarkStart w:id="81" w:name="OLE_LINK87"/>
      <w:bookmarkStart w:id="82" w:name="OLE_LINK86"/>
      <w:bookmarkEnd w:id="80"/>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Start w:id="83" w:name="OLE_LINK88"/>
      <w:bookmarkStart w:id="84" w:name="OLE_LINK89"/>
      <w:bookmarkEnd w:id="81"/>
      <w:bookmarkEnd w:id="82"/>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85" w:name="OLE_LINK90"/>
      <w:bookmarkEnd w:id="83"/>
      <w:bookmarkEnd w:id="84"/>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3.75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，预决算差异率-20%，差异主要原因是严格执行</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经费只减不增的要求；</w:t>
      </w:r>
      <w:bookmarkStart w:id="86" w:name="OLE_LINK91"/>
      <w:bookmarkEnd w:id="85"/>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rsidR="00881E76" w:rsidRDefault="00C6647D">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881E76" w:rsidRDefault="00C6647D">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2018年度新疆喀什地区英吉沙县托普鲁克乡人民政府（本级）</w:t>
      </w:r>
      <w:r>
        <w:rPr>
          <w:rFonts w:ascii="仿宋_GB2312" w:eastAsia="仿宋_GB2312" w:hint="eastAsia"/>
          <w:color w:val="000000" w:themeColor="text1"/>
          <w:sz w:val="32"/>
          <w:szCs w:val="32"/>
        </w:rPr>
        <w:lastRenderedPageBreak/>
        <w:t>机关运行经费支出26.87万元，与上年相比，减少16.4万元，下降37.9%，减少的主要原因是：压减基本公用经费，节约开支。</w:t>
      </w:r>
    </w:p>
    <w:p w:rsidR="00881E76" w:rsidRDefault="00C6647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881E76" w:rsidRDefault="00C6647D">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7" w:name="OLE_LINK45"/>
      <w:r>
        <w:rPr>
          <w:rFonts w:ascii="仿宋_GB2312" w:eastAsia="仿宋_GB2312" w:hint="eastAsia"/>
          <w:color w:val="000000" w:themeColor="text1"/>
          <w:sz w:val="32"/>
          <w:szCs w:val="32"/>
        </w:rPr>
        <w:t>政府采购支出总额</w:t>
      </w:r>
      <w:bookmarkEnd w:id="87"/>
      <w:r>
        <w:rPr>
          <w:rFonts w:ascii="仿宋_GB2312" w:eastAsia="仿宋_GB2312" w:hint="eastAsia"/>
          <w:sz w:val="32"/>
          <w:szCs w:val="32"/>
        </w:rPr>
        <w:t>129.26</w:t>
      </w:r>
      <w:r>
        <w:rPr>
          <w:rFonts w:ascii="仿宋_GB2312" w:eastAsia="仿宋_GB2312" w:hint="eastAsia"/>
          <w:color w:val="000000" w:themeColor="text1"/>
          <w:sz w:val="32"/>
          <w:szCs w:val="32"/>
        </w:rPr>
        <w:t>万元，其中：</w:t>
      </w:r>
      <w:bookmarkStart w:id="88" w:name="OLE_LINK46"/>
      <w:r>
        <w:rPr>
          <w:rFonts w:ascii="仿宋_GB2312" w:eastAsia="仿宋_GB2312" w:hint="eastAsia"/>
          <w:color w:val="000000" w:themeColor="text1"/>
          <w:sz w:val="32"/>
          <w:szCs w:val="32"/>
        </w:rPr>
        <w:t>政府采购货物支出</w:t>
      </w:r>
      <w:bookmarkEnd w:id="88"/>
      <w:r>
        <w:rPr>
          <w:rFonts w:ascii="仿宋_GB2312" w:eastAsia="仿宋_GB2312" w:hint="eastAsia"/>
          <w:sz w:val="32"/>
          <w:szCs w:val="32"/>
        </w:rPr>
        <w:t>128.9</w:t>
      </w:r>
      <w:r>
        <w:rPr>
          <w:rFonts w:ascii="仿宋_GB2312" w:eastAsia="仿宋_GB2312" w:hint="eastAsia"/>
          <w:color w:val="000000" w:themeColor="text1"/>
          <w:sz w:val="32"/>
          <w:szCs w:val="32"/>
        </w:rPr>
        <w:t>万元、</w:t>
      </w:r>
      <w:bookmarkStart w:id="89" w:name="OLE_LINK47"/>
      <w:r>
        <w:rPr>
          <w:rFonts w:ascii="仿宋_GB2312" w:eastAsia="仿宋_GB2312" w:hint="eastAsia"/>
          <w:color w:val="000000" w:themeColor="text1"/>
          <w:sz w:val="32"/>
          <w:szCs w:val="32"/>
        </w:rPr>
        <w:t>政府采购工程支出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8"/>
      <w:r>
        <w:rPr>
          <w:rFonts w:ascii="仿宋_GB2312" w:eastAsia="仿宋_GB2312" w:hint="eastAsia"/>
          <w:color w:val="000000" w:themeColor="text1"/>
          <w:sz w:val="32"/>
          <w:szCs w:val="32"/>
        </w:rPr>
        <w:t>政府采购服务支出</w:t>
      </w:r>
      <w:bookmarkEnd w:id="90"/>
      <w:r>
        <w:rPr>
          <w:rFonts w:ascii="仿宋_GB2312" w:eastAsia="仿宋_GB2312" w:hint="eastAsia"/>
          <w:sz w:val="32"/>
          <w:szCs w:val="32"/>
        </w:rPr>
        <w:t>0.36</w:t>
      </w:r>
      <w:r>
        <w:rPr>
          <w:rFonts w:ascii="仿宋_GB2312" w:eastAsia="仿宋_GB2312" w:hint="eastAsia"/>
          <w:color w:val="000000" w:themeColor="text1"/>
          <w:sz w:val="32"/>
          <w:szCs w:val="32"/>
        </w:rPr>
        <w:t>万元。</w:t>
      </w:r>
    </w:p>
    <w:p w:rsidR="00881E76" w:rsidRDefault="00C6647D">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881E76" w:rsidRDefault="00C6647D">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881E76" w:rsidRDefault="00C6647D">
      <w:pPr>
        <w:spacing w:line="540" w:lineRule="exact"/>
        <w:ind w:firstLineChars="200" w:firstLine="640"/>
        <w:rPr>
          <w:rFonts w:ascii="仿宋_GB2312" w:eastAsia="仿宋_GB2312"/>
          <w:color w:val="000000" w:themeColor="text1"/>
          <w:sz w:val="32"/>
          <w:szCs w:val="32"/>
        </w:rPr>
      </w:pPr>
      <w:bookmarkStart w:id="91"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2</w:t>
      </w:r>
      <w:r>
        <w:rPr>
          <w:rFonts w:ascii="仿宋_GB2312" w:eastAsia="仿宋_GB2312" w:hint="eastAsia"/>
          <w:color w:val="000000" w:themeColor="text1"/>
          <w:sz w:val="32"/>
          <w:szCs w:val="32"/>
        </w:rPr>
        <w:t>辆，价值</w:t>
      </w:r>
      <w:r>
        <w:rPr>
          <w:rFonts w:ascii="仿宋_GB2312" w:eastAsia="仿宋_GB2312" w:hint="eastAsia"/>
          <w:sz w:val="32"/>
          <w:szCs w:val="32"/>
        </w:rPr>
        <w:t>16.38</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1</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无其他用车；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1"/>
    </w:p>
    <w:p w:rsidR="00881E76" w:rsidRDefault="00C6647D">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英吉沙县托普鲁克乡人民政府2018</w:t>
      </w:r>
      <w:r>
        <w:rPr>
          <w:rFonts w:ascii="仿宋_GB2312" w:eastAsia="仿宋_GB2312"/>
          <w:sz w:val="32"/>
          <w:szCs w:val="32"/>
        </w:rPr>
        <w:lastRenderedPageBreak/>
        <w:t>年度部门预算总额为2,224.15万元，执行金额为2,224.15万元，预算执行率为10</w:t>
      </w:r>
      <w:bookmarkStart w:id="92" w:name="_GoBack"/>
      <w:bookmarkEnd w:id="92"/>
      <w:r>
        <w:rPr>
          <w:rFonts w:ascii="仿宋_GB2312" w:eastAsia="仿宋_GB2312"/>
          <w:sz w:val="32"/>
          <w:szCs w:val="32"/>
        </w:rPr>
        <w:t>0%。本次自评共涉及项目数2</w:t>
      </w:r>
      <w:r w:rsidR="000D236E">
        <w:rPr>
          <w:rFonts w:ascii="仿宋_GB2312" w:eastAsia="仿宋_GB2312" w:hint="eastAsia"/>
          <w:sz w:val="32"/>
          <w:szCs w:val="32"/>
        </w:rPr>
        <w:t>2</w:t>
      </w:r>
      <w:r>
        <w:rPr>
          <w:rFonts w:ascii="仿宋_GB2312" w:eastAsia="仿宋_GB2312"/>
          <w:sz w:val="32"/>
          <w:szCs w:val="32"/>
        </w:rPr>
        <w:t>个，其中已完成项目</w:t>
      </w:r>
      <w:r w:rsidR="000D236E">
        <w:rPr>
          <w:rFonts w:ascii="仿宋_GB2312" w:eastAsia="仿宋_GB2312"/>
          <w:sz w:val="32"/>
          <w:szCs w:val="32"/>
        </w:rPr>
        <w:t>2</w:t>
      </w:r>
      <w:r w:rsidR="000D236E">
        <w:rPr>
          <w:rFonts w:ascii="仿宋_GB2312" w:eastAsia="仿宋_GB2312" w:hint="eastAsia"/>
          <w:sz w:val="32"/>
          <w:szCs w:val="32"/>
        </w:rPr>
        <w:t>2</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rsidR="00881E76" w:rsidRDefault="00C6647D">
      <w:pPr>
        <w:spacing w:line="540" w:lineRule="exact"/>
        <w:ind w:left="-1" w:right="-1" w:firstLine="646"/>
        <w:jc w:val="left"/>
      </w:pPr>
      <w:r>
        <w:rPr>
          <w:rFonts w:ascii="仿宋_GB2312" w:eastAsia="仿宋_GB2312" w:hAnsi="仿宋_GB2312" w:cs="仿宋_GB2312"/>
          <w:color w:val="000000"/>
          <w:sz w:val="32"/>
        </w:rPr>
        <w:t>1、托普鲁克乡农村危房改造补助建设项目绩效自评综述：根据年初设定的绩效目标，该项目绩效自评得分为90分。项目全年预算数为184.04万元，执行数为184.04万元，完成预算的100%。主要产出和效果：为我乡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通过托普鲁克乡农村危房建设项目执行情况，做好下一年工作经费执行预算，充分发挥农村危房建设在脱贫攻坚工作的重要作用。</w:t>
      </w:r>
    </w:p>
    <w:p w:rsidR="00881E76" w:rsidRDefault="00C6647D">
      <w:pPr>
        <w:spacing w:line="540" w:lineRule="exact"/>
        <w:ind w:left="-1" w:right="-1" w:firstLine="646"/>
        <w:jc w:val="left"/>
      </w:pPr>
      <w:r>
        <w:rPr>
          <w:rFonts w:ascii="仿宋_GB2312" w:eastAsia="仿宋_GB2312" w:hAnsi="仿宋_GB2312" w:cs="仿宋_GB2312"/>
          <w:color w:val="000000"/>
          <w:sz w:val="32"/>
        </w:rPr>
        <w:t>2、农业生产支持补贴项目绩效自评综述：根据年初设定的绩效目标，该项目绩效自评得分为98分。项目全年预算数为20.2万元，执行数为20.2万元，完成预算的100%。主要产出和效果：该项目资金我乡主要使用在进一步充实村级工作力量，提高干部队伍整体素质，按时对干部发放生活补贴，以此提高干部的工作积极性，踏实认真的完成上级交办的每一项工作任务。项目实施以来各有关方尽心履职，通力合作，不断提升了干部服务群众意识以及工作作风。总体上，较好的实现了项目的战略目标和工作目标，自评为优秀。</w:t>
      </w:r>
      <w:r>
        <w:rPr>
          <w:rFonts w:ascii="仿宋_GB2312" w:eastAsia="仿宋_GB2312" w:hAnsi="仿宋_GB2312" w:cs="仿宋_GB2312"/>
          <w:color w:val="000000"/>
          <w:sz w:val="32"/>
        </w:rPr>
        <w:lastRenderedPageBreak/>
        <w:t>发现的问题及原因：无。下一步改进措施： 实施过程均按照本单位制定的管理制度执行，为保证项目执行情况，由本项目相关人员组织进行发放情况。</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3</w:t>
      </w:r>
      <w:r>
        <w:rPr>
          <w:rFonts w:ascii="仿宋_GB2312" w:eastAsia="仿宋_GB2312" w:hAnsi="仿宋_GB2312" w:cs="仿宋_GB2312"/>
          <w:color w:val="000000"/>
          <w:sz w:val="32"/>
        </w:rPr>
        <w:t>、2018年乡镇就业引导资金项目绩效自评综述：根据年初设定的绩效目标，该项目绩效自评得分为90分。项目全年预算数为79.34万元，执行数为79.34万元，完成预算的100%。主要产出和效果：鼓励贫困户就业，增加农民收入。发现的问题及原因：个人主动性还不够高。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4</w:t>
      </w:r>
      <w:r>
        <w:rPr>
          <w:rFonts w:ascii="仿宋_GB2312" w:eastAsia="仿宋_GB2312" w:hAnsi="仿宋_GB2312" w:cs="仿宋_GB2312"/>
          <w:color w:val="000000"/>
          <w:sz w:val="32"/>
        </w:rPr>
        <w:t>、2018年庭院经济补助项目绩效自评综述：根据年初设定的绩效目标，该项目绩效自评得分为90分。项目全年预算数为620.1万元，执行数为620.1万元，完成预算的100%。主要产出和效果：引导农户拆除危旧房，配套改造厨房，厕所，合理规范庭院，治理乱堆乱放，确保庭院干净整洁，推进农村新型化建设。发现的问题及原因：个人主动性还不够高。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5</w:t>
      </w:r>
      <w:r>
        <w:rPr>
          <w:rFonts w:ascii="仿宋_GB2312" w:eastAsia="仿宋_GB2312" w:hAnsi="仿宋_GB2312" w:cs="仿宋_GB2312"/>
          <w:color w:val="000000"/>
          <w:sz w:val="32"/>
        </w:rPr>
        <w:t>、大学生村干部项目绩效自评综述：根据年初设定的绩效目标，该项目绩效自评得分为98分。项目全年预算数为7.2万元，执行数为7.2万元，完成预算的100%。主要产出和效果：通过配齐全乡大学生村官数量，有助于加强</w:t>
      </w:r>
      <w:r>
        <w:rPr>
          <w:rFonts w:ascii="仿宋_GB2312" w:eastAsia="仿宋_GB2312" w:hAnsi="仿宋_GB2312" w:cs="仿宋_GB2312" w:hint="eastAsia"/>
          <w:color w:val="000000"/>
          <w:sz w:val="32"/>
        </w:rPr>
        <w:t>普通话</w:t>
      </w:r>
      <w:r>
        <w:rPr>
          <w:rFonts w:ascii="仿宋_GB2312" w:eastAsia="仿宋_GB2312" w:hAnsi="仿宋_GB2312" w:cs="仿宋_GB2312"/>
          <w:color w:val="000000"/>
          <w:sz w:val="32"/>
        </w:rPr>
        <w:t>学习，提高工作能力。发现的问题及原因：无存在的问题。下一步改进措施： 重视预算支出绩效评估工作，成立了绩效评估领导小组，严格预算执行，按规定对财务收支情况进行通报，加强了全年预算管理。</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6</w:t>
      </w:r>
      <w:r>
        <w:rPr>
          <w:rFonts w:ascii="仿宋_GB2312" w:eastAsia="仿宋_GB2312" w:hAnsi="仿宋_GB2312" w:cs="仿宋_GB2312"/>
          <w:color w:val="000000"/>
          <w:sz w:val="32"/>
        </w:rPr>
        <w:t>、2018年村民服务中心建设项目绩效自评综述：根据年初设</w:t>
      </w:r>
      <w:r>
        <w:rPr>
          <w:rFonts w:ascii="仿宋_GB2312" w:eastAsia="仿宋_GB2312" w:hAnsi="仿宋_GB2312" w:cs="仿宋_GB2312"/>
          <w:color w:val="000000"/>
          <w:sz w:val="32"/>
        </w:rPr>
        <w:lastRenderedPageBreak/>
        <w:t>定的绩效目标，该项目绩效自评得分为90分。项目全年预算数为35.92万元，执行数为35.92万元，完成预算的100%。主要产出和效果：建设村民服务中心，满足大家生活需求，切实服务群众，拉近干群关系，为群众解决实际困难，做好帮扶解困工作。发现的问题及原因：项目执行前期的规划及实施方案应该更加详细，综合考虑实际情况，使项目实施的更加顺畅，更加高效。下一步改进措施： 建设村民服务中心项目执行情况，做好下一年工作经费执行预算，为群众解决实际困难，做好帮扶解困工作。</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7</w:t>
      </w:r>
      <w:r>
        <w:rPr>
          <w:rFonts w:ascii="仿宋_GB2312" w:eastAsia="仿宋_GB2312" w:hAnsi="仿宋_GB2312" w:cs="仿宋_GB2312"/>
          <w:color w:val="000000"/>
          <w:sz w:val="32"/>
        </w:rPr>
        <w:t>、贫困户育苗补贴项目绩效自评综述：根据年初设定的绩效目标，该项目绩效自评得分为90分。项目全年预算数为6.28万元，执行数为6.28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8</w:t>
      </w:r>
      <w:r>
        <w:rPr>
          <w:rFonts w:ascii="仿宋_GB2312" w:eastAsia="仿宋_GB2312" w:hAnsi="仿宋_GB2312" w:cs="仿宋_GB2312"/>
          <w:color w:val="000000"/>
          <w:sz w:val="32"/>
        </w:rPr>
        <w:t>、2018年贫困户自主创业补助项目绩效自评综述：根据年初设定的绩效目标，该项目绩效自评得分为85分。项目全年预算数为66万元，执行数为66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hint="eastAsia"/>
          <w:color w:val="000000"/>
          <w:sz w:val="32"/>
        </w:rPr>
        <w:t>9</w:t>
      </w:r>
      <w:r>
        <w:rPr>
          <w:rFonts w:ascii="仿宋_GB2312" w:eastAsia="仿宋_GB2312" w:hAnsi="仿宋_GB2312" w:cs="仿宋_GB2312"/>
          <w:color w:val="000000"/>
          <w:sz w:val="32"/>
        </w:rPr>
        <w:t>、贫困户养老保险项目绩效自评综述：根据年初设定的绩效目标，该项目绩效自评得分为85分。项目全年预算数为3.93万元，</w:t>
      </w:r>
      <w:r>
        <w:rPr>
          <w:rFonts w:ascii="仿宋_GB2312" w:eastAsia="仿宋_GB2312" w:hAnsi="仿宋_GB2312" w:cs="仿宋_GB2312"/>
          <w:color w:val="000000"/>
          <w:sz w:val="32"/>
        </w:rPr>
        <w:lastRenderedPageBreak/>
        <w:t>执行数为3.93万元，完成预算的100%。主要产出和效果：该项目资金我乡主要使用在为英也尔乡2017年末16岁至60岁缴纳养老保险的未脱贫人口中，去除已享受政府代缴政策的残疾人、低保户、已缴职工社保人员的这部分贫困人口补助养老保险每人30元。总体上，较好的实现了项目的战略目标和工作目标，自评为优秀。发现的问题及原因：要做好前期基础工作，确保资金使用精准。下一步改进措施： 要进一步提升群众缴纳养老保险的积极性，减轻未脱贫贫困户家庭的负担，激发贫困户内生动力。</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hint="eastAsia"/>
          <w:color w:val="000000"/>
          <w:sz w:val="32"/>
        </w:rPr>
        <w:t>0</w:t>
      </w:r>
      <w:r>
        <w:rPr>
          <w:rFonts w:ascii="仿宋_GB2312" w:eastAsia="仿宋_GB2312" w:hAnsi="仿宋_GB2312" w:cs="仿宋_GB2312"/>
          <w:color w:val="000000"/>
          <w:sz w:val="32"/>
        </w:rPr>
        <w:t>、托普鲁克乡自主创业建设项目绩效自评综述：根据年初设定的绩效目标，该项目绩效自评得分为90分。项目全年预算数为22万元，执行数为22万元，完成预算的100%。主要产出和效果：改善人居环境、改善村级文化氛围。发现的问题及原因：无。下一步改进措施： 充分发挥专项经费在民族团结和爱国主义教育方面的重要作用。</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hint="eastAsia"/>
          <w:color w:val="000000"/>
          <w:sz w:val="32"/>
        </w:rPr>
        <w:t>1</w:t>
      </w:r>
      <w:r>
        <w:rPr>
          <w:rFonts w:ascii="仿宋_GB2312" w:eastAsia="仿宋_GB2312" w:hAnsi="仿宋_GB2312" w:cs="仿宋_GB2312"/>
          <w:color w:val="000000"/>
          <w:sz w:val="32"/>
        </w:rPr>
        <w:t>、2018年美容美发补助项目绩效自评综述：根据年初设定的绩效目标，该项目绩效自评得分为98分。项目全年预算数为9万元，执行数为9万元，完成预算的100%。主要产出和效果：充分尊重贫困群众意见，在本人自愿、个人申请、村级党工委审批、公示公告无异议的基础上，组织实施自主创业项目，增加收入，带动贫困户增收。发现的问题及原因：个人主动性还不够高。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hint="eastAsia"/>
          <w:color w:val="000000"/>
          <w:sz w:val="32"/>
        </w:rPr>
        <w:t>2</w:t>
      </w:r>
      <w:r>
        <w:rPr>
          <w:rFonts w:ascii="仿宋_GB2312" w:eastAsia="仿宋_GB2312" w:hAnsi="仿宋_GB2312" w:cs="仿宋_GB2312"/>
          <w:color w:val="000000"/>
          <w:sz w:val="32"/>
        </w:rPr>
        <w:t>、托普鲁克乡民政帮扶项目绩效自评综述：根据年初设定的绩效目标，该项目绩效自评得分为95分。项目全年预算数为28.73</w:t>
      </w:r>
      <w:r>
        <w:rPr>
          <w:rFonts w:ascii="仿宋_GB2312" w:eastAsia="仿宋_GB2312" w:hAnsi="仿宋_GB2312" w:cs="仿宋_GB2312"/>
          <w:color w:val="000000"/>
          <w:sz w:val="32"/>
        </w:rPr>
        <w:lastRenderedPageBreak/>
        <w:t>万元，执行数为28.73万元，完成预算的100%。主要产出和效果：包括老人福利专项、残疾人专项资金、其他社会保障和就业支出等，有力地保障了全乡80岁以上老人、特困人员、残疾人等弱势群体能够享受政府各项补助及关爱，保障了残疾人基本生活需求，有利于完善社会保障事业、体现党的人文关怀、促进社会公平正义。发现的问题及原因：项目执行前期的规划及实施方案应该更加详细，综合考虑实际情况，使项目实施的更加顺畅，更加高效。下一步改进措施： 根据项目</w:t>
      </w:r>
      <w:proofErr w:type="gramStart"/>
      <w:r>
        <w:rPr>
          <w:rFonts w:ascii="仿宋_GB2312" w:eastAsia="仿宋_GB2312" w:hAnsi="仿宋_GB2312" w:cs="仿宋_GB2312"/>
          <w:color w:val="000000"/>
          <w:sz w:val="32"/>
        </w:rPr>
        <w:t>现实施</w:t>
      </w:r>
      <w:proofErr w:type="gramEnd"/>
      <w:r>
        <w:rPr>
          <w:rFonts w:ascii="仿宋_GB2312" w:eastAsia="仿宋_GB2312" w:hAnsi="仿宋_GB2312" w:cs="仿宋_GB2312"/>
          <w:color w:val="000000"/>
          <w:sz w:val="32"/>
        </w:rPr>
        <w:t>情况，计划下一年度继续申请残疾人专项资金，以保证全乡社保工作正常开展。</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sidR="00261F8F">
        <w:rPr>
          <w:rFonts w:ascii="仿宋_GB2312" w:eastAsia="仿宋_GB2312" w:hAnsi="仿宋_GB2312" w:cs="仿宋_GB2312" w:hint="eastAsia"/>
          <w:color w:val="000000"/>
          <w:sz w:val="32"/>
        </w:rPr>
        <w:t>3</w:t>
      </w:r>
      <w:r>
        <w:rPr>
          <w:rFonts w:ascii="仿宋_GB2312" w:eastAsia="仿宋_GB2312" w:hAnsi="仿宋_GB2312" w:cs="仿宋_GB2312"/>
          <w:color w:val="000000"/>
          <w:sz w:val="32"/>
        </w:rPr>
        <w:t>、2018棚圈补助项目绩效自评综述：根据年初设定的绩效目标，该项目绩效自评得分为90分。项目全年预算数为60.25万元，执行数为60.25万元，完成预算的100%。主要产出和效果：通过建设畜牧养殖小区，对贫困户牲畜进行托养，带动贫困户脱贫致富。发现的问题及原因：由于农民思想觉悟不高，导致养殖小区没有发挥应有的作用。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sidR="00261F8F">
        <w:rPr>
          <w:rFonts w:ascii="仿宋_GB2312" w:eastAsia="仿宋_GB2312" w:hAnsi="仿宋_GB2312" w:cs="仿宋_GB2312" w:hint="eastAsia"/>
          <w:color w:val="000000"/>
          <w:sz w:val="32"/>
        </w:rPr>
        <w:t>4</w:t>
      </w:r>
      <w:r>
        <w:rPr>
          <w:rFonts w:ascii="仿宋_GB2312" w:eastAsia="仿宋_GB2312" w:hAnsi="仿宋_GB2312" w:cs="仿宋_GB2312"/>
          <w:color w:val="000000"/>
          <w:sz w:val="32"/>
        </w:rPr>
        <w:t>、贫困村整治和青贮收获机补贴涉农（林果种植）项目绩效自评综述：根据年初设定的绩效目标，该项目绩效自评得分为98分。项目全年预算数为37.94万元，执行数为37.94万元，完成预算的100%。主要产出和效果：引导农户拆除危旧房，配套改造厨房，厕所，合理规范庭院，治理乱堆乱放，确保庭院干净整洁，推进农村新型化建设。提高农民购买机械力度。发现的问题及原因：个人主动性还不够高。下一步改进措施： 加大对农民的宣传指导。</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sidR="00261F8F">
        <w:rPr>
          <w:rFonts w:ascii="仿宋_GB2312" w:eastAsia="仿宋_GB2312" w:hAnsi="仿宋_GB2312" w:cs="仿宋_GB2312" w:hint="eastAsia"/>
          <w:color w:val="000000"/>
          <w:sz w:val="32"/>
        </w:rPr>
        <w:t>5</w:t>
      </w:r>
      <w:r>
        <w:rPr>
          <w:rFonts w:ascii="仿宋_GB2312" w:eastAsia="仿宋_GB2312" w:hAnsi="仿宋_GB2312" w:cs="仿宋_GB2312"/>
          <w:color w:val="000000"/>
          <w:sz w:val="32"/>
        </w:rPr>
        <w:t>、2018林果业病虫害防治项目绩效自评综述：根据年初设定</w:t>
      </w:r>
      <w:r>
        <w:rPr>
          <w:rFonts w:ascii="仿宋_GB2312" w:eastAsia="仿宋_GB2312" w:hAnsi="仿宋_GB2312" w:cs="仿宋_GB2312"/>
          <w:color w:val="000000"/>
          <w:sz w:val="32"/>
        </w:rPr>
        <w:lastRenderedPageBreak/>
        <w:t>的绩效目标，该项目绩效自评得分为85分。项目全年预算数为60.29万元，执行数为60.29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rsidR="00881E76" w:rsidRDefault="00C6647D">
      <w:pPr>
        <w:spacing w:line="540" w:lineRule="exact"/>
        <w:ind w:left="-1" w:right="-1" w:firstLine="646"/>
        <w:jc w:val="left"/>
      </w:pPr>
      <w:r>
        <w:rPr>
          <w:rFonts w:ascii="仿宋_GB2312" w:eastAsia="仿宋_GB2312" w:hAnsi="仿宋_GB2312" w:cs="仿宋_GB2312"/>
          <w:color w:val="000000"/>
          <w:sz w:val="32"/>
        </w:rPr>
        <w:t>1</w:t>
      </w:r>
      <w:r w:rsidR="00261F8F">
        <w:rPr>
          <w:rFonts w:ascii="仿宋_GB2312" w:eastAsia="仿宋_GB2312" w:hAnsi="仿宋_GB2312" w:cs="仿宋_GB2312" w:hint="eastAsia"/>
          <w:color w:val="000000"/>
          <w:sz w:val="32"/>
        </w:rPr>
        <w:t>6</w:t>
      </w:r>
      <w:r>
        <w:rPr>
          <w:rFonts w:ascii="仿宋_GB2312" w:eastAsia="仿宋_GB2312" w:hAnsi="仿宋_GB2312" w:cs="仿宋_GB2312"/>
          <w:color w:val="000000"/>
          <w:sz w:val="32"/>
        </w:rPr>
        <w:t>、2018林果业提质增效项目绩效自评综述：根据年初设定的绩效目标，该项目绩效自评得分为90分。项目全年预算数为83.85万元，执行数为83.85万元，完成预算的100%。主要产出和效果：在尊重贫困户意愿下，根据贫困户房前屋后实际情况实施果树种植，主要种植杏子、西梅、桃树等。发现的问题及原因：尚未发现问题。下一步改进措施： 进一步完善工作机制，更好的为人民服务。</w:t>
      </w:r>
    </w:p>
    <w:p w:rsidR="00881E76" w:rsidRDefault="00261F8F">
      <w:pPr>
        <w:spacing w:line="540" w:lineRule="exact"/>
        <w:ind w:left="-1" w:right="-1" w:firstLine="646"/>
        <w:jc w:val="left"/>
      </w:pPr>
      <w:r>
        <w:rPr>
          <w:rFonts w:ascii="仿宋_GB2312" w:eastAsia="仿宋_GB2312" w:hAnsi="仿宋_GB2312" w:cs="仿宋_GB2312" w:hint="eastAsia"/>
          <w:color w:val="000000"/>
          <w:sz w:val="32"/>
        </w:rPr>
        <w:t>17</w:t>
      </w:r>
      <w:r w:rsidR="00C6647D">
        <w:rPr>
          <w:rFonts w:ascii="仿宋_GB2312" w:eastAsia="仿宋_GB2312" w:hAnsi="仿宋_GB2312" w:cs="仿宋_GB2312"/>
          <w:color w:val="000000"/>
          <w:sz w:val="32"/>
        </w:rPr>
        <w:t>、林果业</w:t>
      </w:r>
      <w:proofErr w:type="gramStart"/>
      <w:r w:rsidR="00C6647D">
        <w:rPr>
          <w:rFonts w:ascii="仿宋_GB2312" w:eastAsia="仿宋_GB2312" w:hAnsi="仿宋_GB2312" w:cs="仿宋_GB2312"/>
          <w:color w:val="000000"/>
          <w:sz w:val="32"/>
        </w:rPr>
        <w:t>合作社奖补资金</w:t>
      </w:r>
      <w:proofErr w:type="gramEnd"/>
      <w:r w:rsidR="00C6647D">
        <w:rPr>
          <w:rFonts w:ascii="仿宋_GB2312" w:eastAsia="仿宋_GB2312" w:hAnsi="仿宋_GB2312" w:cs="仿宋_GB2312"/>
          <w:color w:val="000000"/>
          <w:sz w:val="32"/>
        </w:rPr>
        <w:t>项目绩效自评综述：根据年初设定的绩效目标，该项目绩效自评得分为98分。项目全年预算数为18万元，执行数为18万元，完成预算的100%。主要产出和效果：通过政策引导、资金扶持、典型示范等途径，加快贫困村农民专业合作社发展，努力实现农民组织化、生产标准化、经营规模化，全面提升农民专业合作社的组织功能和示范带动作用，为脱贫攻坚奠定坚实的基础。发现的问题及原因：尚未发现问题。下一步改进措施： 进一步完善工作机制，更好的为人民服务。</w:t>
      </w:r>
    </w:p>
    <w:p w:rsidR="00881E76" w:rsidRDefault="00261F8F">
      <w:pPr>
        <w:spacing w:line="540" w:lineRule="exact"/>
        <w:ind w:left="-1" w:right="-1" w:firstLine="646"/>
        <w:jc w:val="left"/>
      </w:pPr>
      <w:r>
        <w:rPr>
          <w:rFonts w:ascii="仿宋_GB2312" w:eastAsia="仿宋_GB2312" w:hAnsi="仿宋_GB2312" w:cs="仿宋_GB2312" w:hint="eastAsia"/>
          <w:color w:val="000000"/>
          <w:sz w:val="32"/>
        </w:rPr>
        <w:t>18</w:t>
      </w:r>
      <w:r w:rsidR="00C6647D">
        <w:rPr>
          <w:rFonts w:ascii="仿宋_GB2312" w:eastAsia="仿宋_GB2312" w:hAnsi="仿宋_GB2312" w:cs="仿宋_GB2312"/>
          <w:color w:val="000000"/>
          <w:sz w:val="32"/>
        </w:rPr>
        <w:t>、托普鲁克乡文化体系建设项目绩效自评综述：根据年初设定的绩效目标，该项目绩效自评得分为80分。项目全年预算数为2万元，执行数为2万元，完成预算的100%。主要产出和效果：通过村级文化体系建设，加强基层文化体系建设，增强村级文化氛围。</w:t>
      </w:r>
      <w:r w:rsidR="00C6647D">
        <w:rPr>
          <w:rFonts w:ascii="仿宋_GB2312" w:eastAsia="仿宋_GB2312" w:hAnsi="仿宋_GB2312" w:cs="仿宋_GB2312"/>
          <w:color w:val="000000"/>
          <w:sz w:val="32"/>
        </w:rPr>
        <w:lastRenderedPageBreak/>
        <w:t>更加改变村容村貌，为脱贫攻坚助力。发现的问题及原因：项目执行前期的规划及实施方案应该更加详细，综合考虑实际情况，使项目实施的更加顺畅，更加高效。下一步改进措施： 做好下一年工作经费执行预算，充分发挥文化经费在脱贫攻坚工作的重要作用。</w:t>
      </w:r>
    </w:p>
    <w:p w:rsidR="00881E76" w:rsidRDefault="00261F8F">
      <w:pPr>
        <w:spacing w:line="540" w:lineRule="exact"/>
        <w:ind w:left="-1" w:right="-1" w:firstLine="646"/>
        <w:jc w:val="left"/>
      </w:pPr>
      <w:r>
        <w:rPr>
          <w:rFonts w:ascii="仿宋_GB2312" w:eastAsia="仿宋_GB2312" w:hAnsi="仿宋_GB2312" w:cs="仿宋_GB2312" w:hint="eastAsia"/>
          <w:color w:val="000000"/>
          <w:sz w:val="32"/>
        </w:rPr>
        <w:t>19</w:t>
      </w:r>
      <w:r w:rsidR="00C6647D">
        <w:rPr>
          <w:rFonts w:ascii="仿宋_GB2312" w:eastAsia="仿宋_GB2312" w:hAnsi="仿宋_GB2312" w:cs="仿宋_GB2312"/>
          <w:color w:val="000000"/>
          <w:sz w:val="32"/>
        </w:rPr>
        <w:t>、2018年庭院经济补助项目绩效自评综述：根据年初设定的绩效目标，该项目绩效自评得分为85分。项目全年预算数为59.1万元，执行数为59.1万元，完成预算的100%。主要产出和效果：加强</w:t>
      </w:r>
      <w:r w:rsidR="00C6647D">
        <w:rPr>
          <w:rFonts w:ascii="仿宋_GB2312" w:eastAsia="仿宋_GB2312" w:hAnsi="仿宋_GB2312" w:cs="仿宋_GB2312" w:hint="eastAsia"/>
          <w:color w:val="000000"/>
          <w:sz w:val="32"/>
        </w:rPr>
        <w:t>各项</w:t>
      </w:r>
      <w:r w:rsidR="00C6647D">
        <w:rPr>
          <w:rFonts w:ascii="仿宋_GB2312" w:eastAsia="仿宋_GB2312" w:hAnsi="仿宋_GB2312" w:cs="仿宋_GB2312"/>
          <w:color w:val="000000"/>
          <w:sz w:val="32"/>
        </w:rPr>
        <w:t>工作,关注基层民生问题,解决群众困难诉求。发现的问题及原因：尚未发现问题。下一步改进措施： 进一步完善工作机制，更好的为人民服务。</w:t>
      </w:r>
    </w:p>
    <w:p w:rsidR="00881E76" w:rsidRDefault="00C6647D">
      <w:pPr>
        <w:spacing w:line="540" w:lineRule="exact"/>
        <w:ind w:left="-1" w:right="-1" w:firstLine="646"/>
        <w:jc w:val="left"/>
      </w:pPr>
      <w:r>
        <w:rPr>
          <w:rFonts w:ascii="仿宋_GB2312" w:eastAsia="仿宋_GB2312" w:hAnsi="仿宋_GB2312" w:cs="仿宋_GB2312"/>
          <w:color w:val="000000"/>
          <w:sz w:val="32"/>
        </w:rPr>
        <w:t>2</w:t>
      </w:r>
      <w:r w:rsidR="00261F8F">
        <w:rPr>
          <w:rFonts w:ascii="仿宋_GB2312" w:eastAsia="仿宋_GB2312" w:hAnsi="仿宋_GB2312" w:cs="仿宋_GB2312" w:hint="eastAsia"/>
          <w:color w:val="000000"/>
          <w:sz w:val="32"/>
        </w:rPr>
        <w:t>0</w:t>
      </w:r>
      <w:r>
        <w:rPr>
          <w:rFonts w:ascii="仿宋_GB2312" w:eastAsia="仿宋_GB2312" w:hAnsi="仿宋_GB2312" w:cs="仿宋_GB2312"/>
          <w:color w:val="000000"/>
          <w:sz w:val="32"/>
        </w:rPr>
        <w:t>、2018年小商铺建设补助项目绩效自评综述：根据年初设定的绩效目标，该项目绩效自评得分为86分。项目全年预算数为150万元，执行数为150万元，完成预算的100%。主要产出和效果：</w:t>
      </w:r>
      <w:proofErr w:type="gramStart"/>
      <w:r>
        <w:rPr>
          <w:rFonts w:ascii="仿宋_GB2312" w:eastAsia="仿宋_GB2312" w:hAnsi="仿宋_GB2312" w:cs="仿宋_GB2312"/>
          <w:color w:val="000000"/>
          <w:sz w:val="32"/>
        </w:rPr>
        <w:t>可完善</w:t>
      </w:r>
      <w:proofErr w:type="gramEnd"/>
      <w:r>
        <w:rPr>
          <w:rFonts w:ascii="仿宋_GB2312" w:eastAsia="仿宋_GB2312" w:hAnsi="仿宋_GB2312" w:cs="仿宋_GB2312"/>
          <w:color w:val="000000"/>
          <w:sz w:val="32"/>
        </w:rPr>
        <w:t>村基础设施建设，可提供给贫困户使用，可带动贫困户增收，为群众生活提供便利条件，提高农村基层公共服务水平。发现的问题及原因：尚未发现问题。下一步改进措施： 进一步完善工作机制，更好的为人民服务。</w:t>
      </w:r>
    </w:p>
    <w:p w:rsidR="00881E76" w:rsidRDefault="00C6647D">
      <w:pPr>
        <w:spacing w:line="540" w:lineRule="exact"/>
        <w:ind w:left="-1" w:right="-1" w:firstLine="646"/>
        <w:jc w:val="left"/>
      </w:pPr>
      <w:r>
        <w:rPr>
          <w:rFonts w:ascii="仿宋_GB2312" w:eastAsia="仿宋_GB2312" w:hAnsi="仿宋_GB2312" w:cs="仿宋_GB2312"/>
          <w:color w:val="000000"/>
          <w:sz w:val="32"/>
        </w:rPr>
        <w:t>2</w:t>
      </w:r>
      <w:r w:rsidR="00261F8F">
        <w:rPr>
          <w:rFonts w:ascii="仿宋_GB2312" w:eastAsia="仿宋_GB2312" w:hAnsi="仿宋_GB2312" w:cs="仿宋_GB2312" w:hint="eastAsia"/>
          <w:color w:val="000000"/>
          <w:sz w:val="32"/>
        </w:rPr>
        <w:t>1</w:t>
      </w:r>
      <w:r>
        <w:rPr>
          <w:rFonts w:ascii="仿宋_GB2312" w:eastAsia="仿宋_GB2312" w:hAnsi="仿宋_GB2312" w:cs="仿宋_GB2312"/>
          <w:color w:val="000000"/>
          <w:sz w:val="32"/>
        </w:rPr>
        <w:t>、托普鲁克乡国旗杆安装项目绩效自评综述：根据年初设定的绩效目标，该项目绩效自评得分为100分。项目全年预算数为0.89万元，执行数为0.89万元，完成预算的100%。主要产出和效果：通过</w:t>
      </w:r>
      <w:proofErr w:type="gramStart"/>
      <w:r>
        <w:rPr>
          <w:rFonts w:ascii="仿宋_GB2312" w:eastAsia="仿宋_GB2312" w:hAnsi="仿宋_GB2312" w:cs="仿宋_GB2312"/>
          <w:color w:val="000000"/>
          <w:sz w:val="32"/>
        </w:rPr>
        <w:t>安装国</w:t>
      </w:r>
      <w:proofErr w:type="gramEnd"/>
      <w:r>
        <w:rPr>
          <w:rFonts w:ascii="仿宋_GB2312" w:eastAsia="仿宋_GB2312" w:hAnsi="仿宋_GB2312" w:cs="仿宋_GB2312"/>
          <w:color w:val="000000"/>
          <w:sz w:val="32"/>
        </w:rPr>
        <w:t>旗杆项目，增加中华民族认同感，增强爱国情怀，促进民族团结。发现的问题及原因：无。下一步改进措施： 通过托普鲁克乡国旗杆安装项目执行情况，做好下一年专项经费执行预算，充</w:t>
      </w:r>
      <w:r>
        <w:rPr>
          <w:rFonts w:ascii="仿宋_GB2312" w:eastAsia="仿宋_GB2312" w:hAnsi="仿宋_GB2312" w:cs="仿宋_GB2312"/>
          <w:color w:val="000000"/>
          <w:sz w:val="32"/>
        </w:rPr>
        <w:lastRenderedPageBreak/>
        <w:t>分发挥专项经费在民族团结和爱国主义教育方面的重要作用。</w:t>
      </w:r>
    </w:p>
    <w:p w:rsidR="00881E76" w:rsidRDefault="00C6647D">
      <w:pPr>
        <w:spacing w:line="540" w:lineRule="exact"/>
        <w:ind w:left="-1" w:right="-1" w:firstLine="646"/>
        <w:jc w:val="left"/>
      </w:pPr>
      <w:r>
        <w:rPr>
          <w:rFonts w:ascii="仿宋_GB2312" w:eastAsia="仿宋_GB2312" w:hAnsi="仿宋_GB2312" w:cs="仿宋_GB2312"/>
          <w:color w:val="000000"/>
          <w:sz w:val="32"/>
        </w:rPr>
        <w:t>2</w:t>
      </w:r>
      <w:r w:rsidR="00261F8F">
        <w:rPr>
          <w:rFonts w:ascii="仿宋_GB2312" w:eastAsia="仿宋_GB2312" w:hAnsi="仿宋_GB2312" w:cs="仿宋_GB2312" w:hint="eastAsia"/>
          <w:color w:val="000000"/>
          <w:sz w:val="32"/>
        </w:rPr>
        <w:t>2</w:t>
      </w:r>
      <w:r>
        <w:rPr>
          <w:rFonts w:ascii="仿宋_GB2312" w:eastAsia="仿宋_GB2312" w:hAnsi="仿宋_GB2312" w:cs="仿宋_GB2312"/>
          <w:color w:val="000000"/>
          <w:sz w:val="32"/>
        </w:rPr>
        <w:t>、2018年农村基础设施建设和片区综合开发项目绩效自评综述：根据年初设定的绩效目标，该项目绩效自评得分为98分。项目全年预算数为401.9万元，执行数为401.9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w:t>
      </w:r>
      <w:proofErr w:type="gramStart"/>
      <w:r>
        <w:rPr>
          <w:rFonts w:ascii="仿宋_GB2312" w:eastAsia="仿宋_GB2312" w:hAnsi="仿宋_GB2312" w:cs="仿宋_GB2312"/>
          <w:color w:val="000000"/>
          <w:sz w:val="32"/>
        </w:rPr>
        <w:t>实施极</w:t>
      </w:r>
      <w:proofErr w:type="gramEnd"/>
      <w:r>
        <w:rPr>
          <w:rFonts w:ascii="仿宋_GB2312" w:eastAsia="仿宋_GB2312" w:hAnsi="仿宋_GB2312" w:cs="仿宋_GB2312"/>
          <w:color w:val="000000"/>
          <w:sz w:val="32"/>
        </w:rPr>
        <w:t>大的提高了工作效率，缓解了我乡经费压力，今后我乡仍将继续加强资金监管工作，严格资金审批手续。</w:t>
      </w:r>
    </w:p>
    <w:p w:rsidR="00881E76" w:rsidRDefault="00C6647D">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881E76" w:rsidRDefault="00C6647D">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附属单位上缴收入：指事业单位附属的独立核算单位按有关规定上缴的收入。</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对附属单位补助支出：指事业单位发生的用非财政预算资金对附属单位的补助支出。</w:t>
      </w:r>
    </w:p>
    <w:p w:rsidR="00881E76" w:rsidRDefault="00C6647D">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81E76" w:rsidRDefault="00C6647D">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201（类）10（款）50（项）指：事业运行。208（类）99（款）01（项）指：其他社会保障和就业支出。213（类）01（款）35（项）指：农业资源保护修复与利用。208（类）05（款）05（项）指：机关事业单位基本养老保险缴费支出。208（类）11（款）04（项）指：残疾人康复。201（类）06（款）01（项）指：行政运行。208（类）11（款）05（项）指：残疾人就业和扶贫。208（类）10（款）02（项）指：老年福利。201（类）32（款）99（项）指：其他组织事务支出。201（类）11（款）99（项）指：其他纪检监察事务支出。229（类）99（款）01（项）指：其他</w:t>
      </w:r>
      <w:r>
        <w:rPr>
          <w:rFonts w:ascii="仿宋_GB2312" w:eastAsia="仿宋_GB2312" w:hint="eastAsia"/>
          <w:sz w:val="32"/>
          <w:szCs w:val="32"/>
        </w:rPr>
        <w:lastRenderedPageBreak/>
        <w:t>支出。201（类）03（款）01（项）指：行政运行。201（类）34（款）99（项）指：其他统战事务支出。201（类）99（款）99（项）指：其他一般公共服务支出。213（类）01（款）04（项）指：事业运行。213（类）05（款）05（项）指：生产发展。213（类）05（款）06（项）指：社会发展。221（类）01（款）05（项）指：农村危房改造。221（类）02（款）01（项）指：住房公积金。213（类）05（款）04（项）指：农村基础设施建设。204（类）02（款）01（项）指：行政运行。213（类）01（款）24（项）指：农业组织化与产业化经营。204（类）06（款）01（项）指：行政运行。204（类）02（款）04（项）指：治安管理。213（类）01（款）22（项）指：农业生产支持补贴。216（类）60（款）04（项）指：地方旅游开发项目补助。208（类）02（款）02（项）指：一般行政管理事务。208（类）11（款）99（项）指：其他残疾人事业支出。220（类）01（款）01（项）指：行政运行。201（类）31（款）01（项）指：行政运行。207（类）99（款）99（项）指：其他文化体育与传媒支出。207（类）01（款）09（项）指：群众文化。</w:t>
      </w:r>
    </w:p>
    <w:p w:rsidR="00881E76" w:rsidRDefault="00C6647D">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881E76" w:rsidRDefault="00881E76">
      <w:pPr>
        <w:spacing w:line="540" w:lineRule="exact"/>
        <w:ind w:firstLineChars="200" w:firstLine="643"/>
        <w:rPr>
          <w:rFonts w:ascii="仿宋_GB2312" w:eastAsia="仿宋_GB2312"/>
          <w:b/>
          <w:sz w:val="32"/>
          <w:szCs w:val="32"/>
        </w:rPr>
      </w:pPr>
    </w:p>
    <w:p w:rsidR="00881E76" w:rsidRDefault="00C6647D">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五、《一般公共预算财政拨款支出决算表》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881E76" w:rsidRDefault="00C6647D">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881E76" w:rsidRDefault="00881E76">
      <w:pPr>
        <w:spacing w:line="540" w:lineRule="exact"/>
        <w:rPr>
          <w:rFonts w:ascii="仿宋_GB2312" w:eastAsia="仿宋_GB2312"/>
          <w:sz w:val="32"/>
          <w:szCs w:val="32"/>
        </w:rPr>
      </w:pPr>
    </w:p>
    <w:p w:rsidR="00881E76" w:rsidRDefault="00881E76">
      <w:pPr>
        <w:spacing w:line="540" w:lineRule="exact"/>
        <w:ind w:firstLineChars="200" w:firstLine="640"/>
        <w:rPr>
          <w:rFonts w:ascii="仿宋_GB2312" w:eastAsia="仿宋_GB2312"/>
          <w:sz w:val="32"/>
          <w:szCs w:val="32"/>
        </w:rPr>
      </w:pPr>
    </w:p>
    <w:p w:rsidR="00881E76" w:rsidRDefault="00C6647D">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英吉沙县托普鲁克乡人民政府</w:t>
      </w:r>
    </w:p>
    <w:p w:rsidR="00881E76" w:rsidRDefault="00C6647D">
      <w:pPr>
        <w:spacing w:line="540" w:lineRule="exact"/>
        <w:ind w:firstLineChars="1000" w:firstLine="3200"/>
        <w:jc w:val="center"/>
        <w:rPr>
          <w:rFonts w:ascii="仿宋_GB2312" w:eastAsia="仿宋_GB2312"/>
          <w:sz w:val="32"/>
          <w:szCs w:val="32"/>
        </w:rPr>
        <w:sectPr w:rsidR="00881E76" w:rsidSect="006D558F">
          <w:footerReference w:type="even" r:id="rId8"/>
          <w:footerReference w:type="default" r:id="rId9"/>
          <w:pgSz w:w="11906" w:h="16838" w:code="9"/>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2019年8月15日</w:t>
      </w:r>
    </w:p>
    <w:p w:rsidR="00881E76" w:rsidRDefault="00881E76">
      <w:pPr>
        <w:spacing w:line="540" w:lineRule="exact"/>
        <w:ind w:firstLineChars="200" w:firstLine="640"/>
        <w:rPr>
          <w:rFonts w:ascii="仿宋_GB2312" w:eastAsia="仿宋_GB2312"/>
          <w:sz w:val="32"/>
          <w:szCs w:val="32"/>
        </w:rPr>
        <w:sectPr w:rsidR="00881E76">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881E76" w:rsidRDefault="00881E76">
      <w:pPr>
        <w:spacing w:line="540" w:lineRule="exact"/>
        <w:rPr>
          <w:rFonts w:ascii="仿宋_GB2312" w:eastAsia="仿宋_GB2312"/>
          <w:sz w:val="32"/>
          <w:szCs w:val="32"/>
        </w:rPr>
      </w:pPr>
    </w:p>
    <w:sectPr w:rsidR="00881E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C25" w:rsidRDefault="00A31C25">
      <w:r>
        <w:separator/>
      </w:r>
    </w:p>
  </w:endnote>
  <w:endnote w:type="continuationSeparator" w:id="0">
    <w:p w:rsidR="00A31C25" w:rsidRDefault="00A3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E76" w:rsidRDefault="00C6647D">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881E76" w:rsidRDefault="00881E76">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E76" w:rsidRDefault="00C6647D">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0D236E">
      <w:rPr>
        <w:rStyle w:val="a8"/>
        <w:rFonts w:ascii="宋体" w:eastAsia="宋体" w:hAnsi="宋体"/>
        <w:noProof/>
        <w:sz w:val="28"/>
      </w:rPr>
      <w:t>- 10 -</w:t>
    </w:r>
    <w:r>
      <w:rPr>
        <w:rStyle w:val="a8"/>
        <w:rFonts w:ascii="宋体" w:eastAsia="宋体" w:hAnsi="宋体"/>
        <w:sz w:val="28"/>
      </w:rPr>
      <w:fldChar w:fldCharType="end"/>
    </w:r>
    <w:r>
      <w:rPr>
        <w:rStyle w:val="a8"/>
        <w:rFonts w:ascii="宋体" w:eastAsia="宋体" w:hAnsi="宋体" w:hint="eastAsia"/>
        <w:sz w:val="28"/>
      </w:rPr>
      <w:t xml:space="preserve"> </w:t>
    </w:r>
  </w:p>
  <w:p w:rsidR="00881E76" w:rsidRDefault="00881E76">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E76" w:rsidRDefault="00C6647D">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881E76" w:rsidRDefault="00881E76">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E76" w:rsidRDefault="00C6647D">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261F8F">
      <w:rPr>
        <w:rStyle w:val="a8"/>
        <w:rFonts w:ascii="宋体" w:eastAsia="宋体" w:hAnsi="宋体"/>
        <w:noProof/>
        <w:sz w:val="28"/>
      </w:rPr>
      <w:t>- 22 -</w:t>
    </w:r>
    <w:r>
      <w:rPr>
        <w:rStyle w:val="a8"/>
        <w:rFonts w:ascii="宋体" w:eastAsia="宋体" w:hAnsi="宋体"/>
        <w:sz w:val="28"/>
      </w:rPr>
      <w:fldChar w:fldCharType="end"/>
    </w:r>
    <w:r>
      <w:rPr>
        <w:rStyle w:val="a8"/>
        <w:rFonts w:ascii="宋体" w:eastAsia="宋体" w:hAnsi="宋体" w:hint="eastAsia"/>
        <w:sz w:val="28"/>
      </w:rPr>
      <w:t xml:space="preserve"> </w:t>
    </w:r>
  </w:p>
  <w:p w:rsidR="00881E76" w:rsidRDefault="00881E76">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C25" w:rsidRDefault="00A31C25">
      <w:r>
        <w:separator/>
      </w:r>
    </w:p>
  </w:footnote>
  <w:footnote w:type="continuationSeparator" w:id="0">
    <w:p w:rsidR="00A31C25" w:rsidRDefault="00A31C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1"/>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D236E"/>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61F8F"/>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0BE4"/>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0AEB"/>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558F"/>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81E76"/>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C25"/>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6647D"/>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B40D5"/>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D2CD7"/>
    <w:rsid w:val="00FE48DB"/>
    <w:rsid w:val="00FF224F"/>
    <w:rsid w:val="00FF3620"/>
    <w:rsid w:val="00FF3A84"/>
    <w:rsid w:val="01110239"/>
    <w:rsid w:val="011F259D"/>
    <w:rsid w:val="021E24C4"/>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6004267"/>
    <w:rsid w:val="18D54A0D"/>
    <w:rsid w:val="1A4106A0"/>
    <w:rsid w:val="1A4F5437"/>
    <w:rsid w:val="1AB77CD0"/>
    <w:rsid w:val="1E807156"/>
    <w:rsid w:val="1EA657F6"/>
    <w:rsid w:val="1F097CB6"/>
    <w:rsid w:val="1FF47688"/>
    <w:rsid w:val="2166156B"/>
    <w:rsid w:val="21B02D83"/>
    <w:rsid w:val="22061656"/>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3A6224"/>
    <w:rsid w:val="336D0D6F"/>
    <w:rsid w:val="347E4F62"/>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98517C"/>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963787D"/>
    <w:rsid w:val="6A162DE0"/>
    <w:rsid w:val="6A331428"/>
    <w:rsid w:val="6ADA21C9"/>
    <w:rsid w:val="6B2E5CB6"/>
    <w:rsid w:val="6B3D4886"/>
    <w:rsid w:val="6C29523D"/>
    <w:rsid w:val="6DF8675E"/>
    <w:rsid w:val="6EA80098"/>
    <w:rsid w:val="6F8D70FF"/>
    <w:rsid w:val="6FFE5011"/>
    <w:rsid w:val="70422777"/>
    <w:rsid w:val="7178734D"/>
    <w:rsid w:val="71791096"/>
    <w:rsid w:val="717B0C34"/>
    <w:rsid w:val="71B753F6"/>
    <w:rsid w:val="71FB78FD"/>
    <w:rsid w:val="7275064A"/>
    <w:rsid w:val="733F750B"/>
    <w:rsid w:val="735702E2"/>
    <w:rsid w:val="736B34C1"/>
    <w:rsid w:val="76387440"/>
    <w:rsid w:val="765F635A"/>
    <w:rsid w:val="76B73454"/>
    <w:rsid w:val="76D254BD"/>
    <w:rsid w:val="77727ACD"/>
    <w:rsid w:val="78071142"/>
    <w:rsid w:val="79296B37"/>
    <w:rsid w:val="7A4641FA"/>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1780</Words>
  <Characters>10150</Characters>
  <Application>Microsoft Office Word</Application>
  <DocSecurity>0</DocSecurity>
  <Lines>84</Lines>
  <Paragraphs>23</Paragraphs>
  <ScaleCrop>false</ScaleCrop>
  <Company>china</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816</cp:revision>
  <dcterms:created xsi:type="dcterms:W3CDTF">2019-05-30T09:42:00Z</dcterms:created>
  <dcterms:modified xsi:type="dcterms:W3CDTF">2021-07-13T15:19:00Z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